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MariMedV — Anforderungen an die Seediensttauglichkeit von Kanalsteurern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nach § 11 in Verbindung mit § 3 Absatz 4 Satz 3 des Seearbeitsgesetzes für einen Kanalsteurer auf dem Nord-Ostsee-Kanal erforderliche Seediensttauglichkeit liegt vor, wenn er</w:t>
      </w:r>
    </w:p>
    <w:p>
      <w:pPr>
        <w:ind w:left="420"/>
      </w:pPr>
      <w:r>
        <w:t xml:space="preserve">1. die in der Anlage 1 vorgesehenen gesundheitlichen Anforderungen für den Dienstzweig Decksdienst und</w:t>
      </w:r>
    </w:p>
    <w:p>
      <w:pPr>
        <w:ind w:left="420"/>
      </w:pPr>
      <w:r>
        <w:t xml:space="preserve">2. die Anforderungen an die Sehschärfe nach Maßgabe des Absatzes 2</w:t>
      </w:r>
    </w:p>
    <w:p>
      <w:r>
        <w:t xml:space="preserve">erfüllt.</w:t>
      </w:r>
    </w:p>
    <w:p>
      <w:r>
        <w:t xml:space="preserve">(2) Im Hinblick auf den Ausschluss einer Nachtblindheit muss die mesopische Sehschärfe mindestens die Kontrasteinstellung 1:5 ohne und mit Blendung erfüllen. Das Einhalten dieser Anforderung ist nachzuweisen durch Vorlage einer Bescheinigung</w:t>
      </w:r>
    </w:p>
    <w:p>
      <w:pPr>
        <w:ind w:left="420"/>
      </w:pPr>
      <w:r>
        <w:t xml:space="preserve">1. eines Augenarztes oder</w:t>
      </w:r>
    </w:p>
    <w:p>
      <w:pPr>
        <w:ind w:left="420"/>
      </w:pPr>
      <w:r>
        <w:t xml:space="preserve">2. eines nach § 9 zugelassenen Arztes, der eine Untersuchung der Dämmerungssehschärfe zur Überprüfung des Ausschlusses einer Nachtblindheit durchführen kann.</w:t>
      </w:r>
    </w:p>
    <w:p>
      <w:r>
        <w:t xml:space="preserve">(3) Abweichend von § 6 und der Anlage 1 Nummer 6.2 darf bei einem Kanalsteurer die Seediensttauglichkeit nur hinsichtlich der Dauer und des Fahrtgebietes eingeschränkt sein.</w:t>
      </w:r>
    </w:p>
    <w:p>
      <w:r>
        <w:rPr>
          <w:color w:val="555555"/>
          <w:sz w:val="17"/>
        </w:rPr>
        <w:t xml:space="preserve">Zitiervorschlag: § 13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