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MariMedV — Zugang zum Seediensttauglichkeitsverzeichnis</w:t>
      </w:r>
    </w:p>
    <w:p>
      <w:r>
        <w:rPr>
          <w:color w:val="555555"/>
          <w:sz w:val="18"/>
        </w:rPr>
        <w:t xml:space="preserve">Maritime-Medizin-Verordnung</w:t>
      </w:r>
    </w:p>
    <w:p>
      <w:r>
        <w:rPr>
          <w:color w:val="555555"/>
          <w:sz w:val="18"/>
        </w:rPr>
        <w:t xml:space="preserve">Stand: 28.05.2022 (konsolidierte Textfassung, kein amtliches Inkrafttretensdatum)</w:t>
      </w:r>
    </w:p>
    <w:p>
      <w:r>
        <w:t xml:space="preserve">(1) Zur Übermittlung von Daten aus dem Seediensttauglichkeitsverzeichnis dürfen durch Abruf im automatisierten Verfahren die nach § 19 Absatz 3 des Seearbeitsgesetzes gespeicherten Daten bereitgehalten werden.</w:t>
      </w:r>
    </w:p>
    <w:p>
      <w:r>
        <w:t xml:space="preserve">(2) Der Abruf darf nur unter Verwendung der Angaben zur Person oder der Nummer des Seediensttauglichkeitszeugnisses erfolgen.</w:t>
      </w:r>
    </w:p>
    <w:p>
      <w:r>
        <w:t xml:space="preserve">(3) Die übermittelnde Stelle darf den Abruf im automatisierten Verfahren aus dem Seediensttauglichkeitsverzeichnis nach § 19 des Seearbeitsgesetzes nur zulassen, wenn dessen Durchführung unter Verwendung</w:t>
      </w:r>
    </w:p>
    <w:p>
      <w:pPr>
        <w:ind w:left="420"/>
      </w:pPr>
      <w:r>
        <w:t xml:space="preserve">1. einer Kennung des zum Abruf berechtigten Nutzers und</w:t>
      </w:r>
    </w:p>
    <w:p>
      <w:pPr>
        <w:ind w:left="420"/>
      </w:pPr>
      <w:r>
        <w:t xml:space="preserve">2. eines Passwortes</w:t>
      </w:r>
    </w:p>
    <w:p>
      <w:r>
        <w:t xml:space="preserve">erfolgt. Nutzer im Sinne des Satzes 1 Nummer 1 kann eine natürliche Person oder eine juristische Person sein. Ist der Nutzer im Sinne des Satzes 1 Nummer 1 keine natürliche Person, so hat er sicherzustellen, dass zu jedem Abruf die jeweils abrufende natürliche Person festgestellt werden kann. Der Nutzer oder die abrufende Person haben vor dem ersten Abruf ein eigenes Passwort zu wählen und dieses jeweils spätestens nach einem von der übermittelnden Stelle vorgegebenen Zeitraum zu ändern.</w:t>
      </w:r>
    </w:p>
    <w:p>
      <w:r>
        <w:t xml:space="preserve">(4) Die übermittelnde Stelle hat durch ein selbsttätiges Verfahren zu gewährleisten, dass keine Abrufe erfolgen können, sobald die Kennung nach Absatz 3 Satz 1 Nummer 1 oder das Passwort mehr als dreimal hintereinander unrichtig übermittelt wurde. Die abrufende Stelle hat Maßnahmen zum Schutz gegen unberechtigte Nutzungen des Abrufsystems zu treffen.</w:t>
      </w:r>
    </w:p>
    <w:p>
      <w:r>
        <w:t xml:space="preserve">(5) Soweit nach datenschutzrechtlichen Vorschriften zum Zweck der Vermeidung von Mehrfach-Untersuchungen bei unterschiedlichen zugelassenen Ärztinnen und Ärzten ein Abgleich von Daten zwischen dem Seediensttauglichkeitsverzeichnis und dem Seelotseignungsverzeichnis zulässig ist, werden bei jedem Abruf von Daten aus dem Seediensttauglichkeitsverzeichnis von der Berufsgenossenschaft folgende Daten mit den entsprechenden Daten dieser Person im Seelotseignungsverzeichnis abgeglichen:</w:t>
      </w:r>
    </w:p>
    <w:p>
      <w:pPr>
        <w:ind w:left="420"/>
      </w:pPr>
      <w:r>
        <w:t xml:space="preserve">1. Familienname, Vorname, Geburtsdatum und Geburtsort der untersuchten Person nach § 19 Absatz 3 Nummer 1 bis 3 des Seelotsgesetzes,</w:t>
      </w:r>
    </w:p>
    <w:p>
      <w:pPr>
        <w:ind w:left="420"/>
      </w:pPr>
      <w:r>
        <w:t xml:space="preserve">2. Sperrvermerke der Berufsgenossenschaft nach § 19 Absatz 3 Nummer 17 des Seearbeitsgesetzes.</w:t>
      </w:r>
    </w:p>
    <w:p>
      <w:r>
        <w:t xml:space="preserve">Unrichtige Angaben im Seediensttauglichkeitsverzeichnis sind durch die Berufsgenossenschaft zu berichtigen und an die entsprechenden Daten zu dieser Person im Seelotseignungsverzeichnis anzugleichen. Ergibt der Abgleich nach Satz 1, dass Daten im Seelotseignungsverzeichnis unrichtig sind, ist eine Berichtigung des Seelotseignungsverzeichnisses durch die registerführende Stelle zu veranlassen. Liegt eine Berichtigungsmeldung nach § 8 Absatz 3 Satz 3 der Seelotseignungsverordnung vor, ist das Seediensttauglichkeitsverzeichnis zu berichtigen.</w:t>
      </w:r>
    </w:p>
    <w:p>
      <w:r>
        <w:rPr>
          <w:color w:val="555555"/>
          <w:sz w:val="17"/>
        </w:rPr>
        <w:t xml:space="preserve">Zitiervorschlag: § 12 MariMedV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https://recht.nulegal.eu/gesetze/MariMedV/12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