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MariMedV — Anwendungsbereich</w:t>
      </w:r>
    </w:p>
    <w:p>
      <w:r>
        <w:rPr>
          <w:color w:val="555555"/>
          <w:sz w:val="18"/>
        </w:rPr>
        <w:t xml:space="preserve">Maritime-Medizin-Verordnung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</w:t>
      </w:r>
    </w:p>
    <w:p>
      <w:pPr>
        <w:ind w:left="420"/>
      </w:pPr>
      <w:r>
        <w:t xml:space="preserve">1. die Feststellung der Seediensttauglichkeit von Personen,</w:t>
      </w:r>
    </w:p>
    <w:p>
      <w:pPr>
        <w:ind w:left="420"/>
      </w:pPr>
      <w:r>
        <w:t xml:space="preserve">2. die Zulassung von Ärzten zur Durchführung von Seediensttauglichkeitsuntersuchungen sowie die Qualitätssicherung dieser Untersuchungen,</w:t>
      </w:r>
    </w:p>
    <w:p>
      <w:pPr>
        <w:ind w:left="420"/>
      </w:pPr>
      <w:r>
        <w:t xml:space="preserve">3. die medizinische Betreuung an Bord,</w:t>
      </w:r>
    </w:p>
    <w:p>
      <w:pPr>
        <w:ind w:left="420"/>
      </w:pPr>
      <w:r>
        <w:t xml:space="preserve">4. die Zulassung von medizinischen Wiederholungslehrgängen und</w:t>
      </w:r>
    </w:p>
    <w:p>
      <w:pPr>
        <w:ind w:left="420"/>
      </w:pPr>
      <w:r>
        <w:t xml:space="preserve">5. die Registrierung von Schiffsärzten.</w:t>
      </w:r>
    </w:p>
    <w:p>
      <w:r>
        <w:t xml:space="preserve">Der Anwendungsbereich der Verordnung erstreckt sich auch auf Sachverhalte an Land, soweit diese einen unmittelbaren Bezug zu den in Satz 1 Nummer 1 bis 5 aufgeführten Bereichen aufweisen.</w:t>
      </w:r>
    </w:p>
    <w:p>
      <w:r>
        <w:rPr>
          <w:color w:val="555555"/>
          <w:sz w:val="17"/>
        </w:rPr>
        <w:t xml:space="preserve">Zitiervorschlag: § 1 MariMedV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https://recht.nulegal.eu/gesetze/MariMedV/1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