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MargMFV — (zu § 3)</w:t>
      </w:r>
    </w:p>
    <w:p>
      <w:r>
        <w:rPr>
          <w:color w:val="555555"/>
          <w:sz w:val="18"/>
        </w:rPr>
        <w:t xml:space="preserve">Margarine- und Mischfettverordnung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1999, 1265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Bezeichnung    Herstellungsweise Zusammensetzung    Fettgehalt in 100 Gewichtsteilen</w:t>
      </w:r>
    </w:p>
    <w:p>
      <w:r>
        <w:rPr>
          <w:rFonts w:ascii="Courier New" w:hAnsi="Courier New"/>
          <w:sz w:val="17"/>
        </w:rPr>
        <w:t xml:space="preserve">I.        </w:t>
      </w:r>
    </w:p>
    <w:p>
      <w:r>
        <w:rPr>
          <w:rFonts w:ascii="Courier New" w:hAnsi="Courier New"/>
          <w:sz w:val="17"/>
        </w:rPr>
        <w:t xml:space="preserve">Margarineschmalz (Schmelzmargarine)    hergestellt aus genußtauglichen Fettstoffen pflanzlicher oder tierischer Herkunft, keine Emulsion, aromatisiert, in der Regel kräftig gelb und einem Höchstgehalt an Milchfett von 3% des Gesamtfettgehaltes    mindestens 99</w:t>
      </w:r>
    </w:p>
    <w:p>
      <w:r>
        <w:rPr>
          <w:rFonts w:ascii="Courier New" w:hAnsi="Courier New"/>
          <w:sz w:val="17"/>
        </w:rPr>
        <w:t xml:space="preserve">II .        </w:t>
      </w:r>
    </w:p>
    <w:p>
      <w:r>
        <w:rPr>
          <w:rFonts w:ascii="Courier New" w:hAnsi="Courier New"/>
          <w:sz w:val="17"/>
        </w:rPr>
        <w:t xml:space="preserve">Mischfettschmalz (Schmelzmischfett)    hergestellt aus genußtauglichen Fettstoffen pflanzlicher und tierischer Herkunft, keine Emulsion; Milchfettanteil am Gesamtfett 10% bis 80%    mindestens 99</w:t>
      </w:r>
    </w:p>
    <w:p>
      <w:r>
        <w:rPr>
          <w:color w:val="555555"/>
          <w:sz w:val="17"/>
        </w:rPr>
        <w:t xml:space="preserve">Zitiervorschlag: Anlage MargMFV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https://recht.nulegal.eu/gesetze/MargMFV/anlage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