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MargMFV — Inkrafttreten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