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MargMFV — Straftaten und Ordnungswidrigkeiten</w:t>
      </w:r>
    </w:p>
    <w:p>
      <w:r>
        <w:rPr>
          <w:color w:val="555555"/>
          <w:sz w:val="18"/>
        </w:rPr>
        <w:t xml:space="preserve">Margarine- und Mischfettverordnung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§ 59 Abs. 1 Nr. 21 Buchstabe a des Lebensmittel- und Futtermittelgesetzbuches wird bestraft, wer entgegen § 5 Abs. 2 Satz 1 ausländisches Margarineschmalz oder ausländisches Mischfettschmalz, das nicht oder nicht in der vorgeschriebenen Weise kenntlich gemacht ist, in den Verkehr bringt.</w:t>
      </w:r>
    </w:p>
    <w:p>
      <w:r>
        <w:t xml:space="preserve">(2) Wer eine in Absatz 1 bezeichnete Handlung fahrlässig begeht, handelt nach § 60 Abs. 1 des Lebensmittel- und Futtermittelgesetzbuches ordnungswidrig.</w:t>
      </w:r>
    </w:p>
    <w:p>
      <w:r>
        <w:t xml:space="preserve">(3) Ordnungswidrig im Sinne des § 9 Absatz 2 Nummer 2 des Milch- und Margarinegesetzes handelt, wer vorsätzlich oder fahrlässig</w:t>
      </w:r>
    </w:p>
    <w:p>
      <w:pPr>
        <w:ind w:left="420"/>
      </w:pPr>
      <w:r>
        <w:t xml:space="preserve">1. entgegen § 3 Margarineschmalz oder Mischfettschmalz in den Verkehr bringt oder</w:t>
      </w:r>
    </w:p>
    <w:p>
      <w:pPr>
        <w:ind w:left="420"/>
      </w:pPr>
      <w:r>
        <w:t xml:space="preserve">2. entgegen § 4 Absatz 3 eine Verkehrsbezeichnung verwendet.</w:t>
      </w:r>
    </w:p>
    <w:p>
      <w:r>
        <w:t xml:space="preserve">(4) Ordnungswidrig im Sinne des § 9 Absatz 2 Nummer 4 des Milch- und Margarinegesetzes handelt, wer gegen die Verordnung (EU) Nr. 1308/2013 des Europäischen Parlaments und des Rates vom 17. Dezember 2013 über eine gemeinsame Marktorganisation für landwirtschaftliche Erzeugnisse und zur Aufhebung der Verordnungen (EWG) Nr. 922/72, (EWG) Nr. 234/79, (EG) Nr. 1037/2001 und (EG) Nr. 1234/2007 (ABl. L 347 vom 20.12.2013, S. 671) verstößt, indem er vorsätzlich oder fahrlässig entgegen Anhang VII Teil VII</w:t>
      </w:r>
    </w:p>
    <w:p>
      <w:pPr>
        <w:ind w:left="420"/>
      </w:pPr>
      <w:r>
        <w:t xml:space="preserve">1. Abschnitt I Unterabsatz 1 ein dort genanntes Erzeugnis abgibt,</w:t>
      </w:r>
    </w:p>
    <w:p>
      <w:pPr>
        <w:ind w:left="420"/>
      </w:pPr>
      <w:r>
        <w:t xml:space="preserve">2. Abschnitt I Unterabsatz 2 eine andere als eine dort genannte Verkehrsbezeichnung verwendet oder</w:t>
      </w:r>
    </w:p>
    <w:p>
      <w:pPr>
        <w:ind w:left="420"/>
      </w:pPr>
      <w:r>
        <w:t xml:space="preserve">3. Abschnitt II Nummer 2 für ein in Anhang VII Anlage II Buchstabe B und C genanntes Erzeugnis einen Hinweis gibt.</w:t>
      </w:r>
    </w:p>
    <w:p>
      <w:r>
        <w:rPr>
          <w:color w:val="555555"/>
          <w:sz w:val="17"/>
        </w:rPr>
        <w:t xml:space="preserve">Zitiervorschlag: § 6 MargMFV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https://recht.nulegal.eu/gesetze/MargMFV/6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