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MargMFV</w:t>
      </w:r>
    </w:p>
    <w:p>
      <w:r>
        <w:rPr>
          <w:color w:val="555555"/>
          <w:sz w:val="18"/>
        </w:rPr>
        <w:t xml:space="preserve">Margarine- und Mischfettverordnung</w:t>
      </w:r>
    </w:p>
    <w:p>
      <w:r>
        <w:rPr>
          <w:color w:val="555555"/>
          <w:sz w:val="18"/>
        </w:rPr>
        <w:t xml:space="preserve">Stand: 10.06.2019 (konsolidierte Textfassung, kein amtliches Inkrafttretensdatum)</w:t>
      </w:r>
    </w:p>
    <w:p>
      <w:r>
        <w:t xml:space="preserve">(1) Außerhalb des Geltungsbereichs dieser Verordnung hergestelltes Margarineschmalz oder Mischfettschmalz (ausländisches Margarineschmalz oder Mischfettschmalz), das nicht den Vorschriften dieser Verordnung entspricht, darf vorbehaltlich des Absatzes 2 in den Verkehr gebracht werden, wenn</w:t>
      </w:r>
    </w:p>
    <w:p>
      <w:pPr>
        <w:ind w:left="420"/>
      </w:pPr>
      <w:r>
        <w:t xml:space="preserve">1. es nach den Rechtsvorschriften des Herstellungslandes hergestellt und dort verkehrsfähig ist und,</w:t>
      </w:r>
    </w:p>
    <w:p>
      <w:pPr>
        <w:ind w:left="420"/>
      </w:pPr>
      <w:r>
        <w:t xml:space="preserve">2. soweit es sich nicht um ein Erzeugnis handelt, das in einem anderen Mitgliedstaat der Europäischen Union oder einem anderen Vertragsstaat des Abkommens über den Europäischen Wirtschaftsraum rechtmäßig hergestellt und in den Verkehr gebracht ist oder aus einem Drittland stammt und sich in einem Mitgliedstaat der Europäischen Union rechtmäßig im Verkehr befindet, für in dem Erzeugnis enthaltene zulassungsbedürftige Zusatzstoffe eine Ausnahme nach § 37 des Lebensmittel- und Bedarfsgegenständegesetzes in der bis zum 6. September 2005 geltenden Fassung oder nach § 68 des Lebensmittel- und Futtermittelgesetzbuches zugelassen worden ist.</w:t>
      </w:r>
    </w:p>
    <w:p>
      <w:r>
        <w:t xml:space="preserve">(2) Ausländisches Margarine- und Mischfettschmalz, das in wesentlichen charakteristischen Merkmalen, insbesondere hinsichtlich des Fettgehalts und der Verwendung von Ausgangsstoffen, von inländischen Erzeugnissen abweicht, darf nur in den Verkehr gebracht werden, wenn zusätzlich zu der Kennzeichnung nach § 4 und nach der Verordnung (EU) Nr. 1169/2011 die Beschreibung der Abweichung auf der Fertigpackung oder dem Hinweisschild deutlich lesbar angegeben ist. Der Hinweis ist in Verbindung mit der Bezeichnung des Lebensmittels anzugeben, sofern nicht durch eine Angabe im Zutatenverzeichnis eine Irreführung des Verbrauchers ausgeschlossen werden kann. Zusätzlich darf auch die Bezeichnung des Lebensmittels des Herstellungslandes verwendet werden.</w:t>
      </w:r>
    </w:p>
    <w:p>
      <w:r>
        <w:rPr>
          <w:color w:val="555555"/>
          <w:sz w:val="17"/>
        </w:rPr>
        <w:t xml:space="preserve">Zitiervorschlag: § 5 MargMFV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https://recht.nulegal.eu/gesetze/MargMFV/5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