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MargMFV — Kennzeichnungsvorschriften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Für Margarineschmalz und Mischfettschmalz sind die in der Anlage vorgesehenen Bezeichnungen die Bezeichnungen der Lebensmittel im Sinne der Verordnung (EU) Nr. 1169/2011.</w:t>
      </w:r>
    </w:p>
    <w:p>
      <w:r>
        <w:t xml:space="preserve">(2) Bei Erzeugnissen mit einem Gesamtfettgehalt von 50 Gramm pro 100 Gramm in Massenanteilen und weniger ist ein Hinweis anzubringen, dass das Erzeugnis zum Braten nicht geeignet ist, und zwar</w:t>
      </w:r>
    </w:p>
    <w:p>
      <w:pPr>
        <w:ind w:left="420"/>
      </w:pPr>
      <w:r>
        <w:t xml:space="preserve">1. bei vorverpackten Erzeugnissen und bei nicht vorverpackten Erzeugnissen im Sinne von § 4 Absatz 1 der Lebensmittelinformations-Durchführungsverordnung in deutscher Sprache und an gut sichtbarer Stelle auf der Verpackung oder auf einem an der Verpackung befestigten Etikett,</w:t>
      </w:r>
    </w:p>
    <w:p>
      <w:pPr>
        <w:ind w:left="420"/>
      </w:pPr>
      <w:r>
        <w:t xml:space="preserve">2. bei der Abgabe von nicht vorverpackten Erzeugnissen im Sinne von § 4 Absatz 2 der Lebensmittelinformations-Durchführungsverordnung in deutscher Sprache und nach Maßgabe des § 4 Absatz 3 der Lebensmittelinformations-Durchführungsverordnung.</w:t>
      </w:r>
    </w:p>
    <w:p>
      <w:r>
        <w:t xml:space="preserve">(3) Es ist verboten, eine Verkehrsbezeichnung, die nach Anhang VII Teil VII Abschnitt I Unterabsatz 3 Buchstabe b und c der Verordnung (EU) Nr. 1308/2013 in der Fassung vom 17. Dezember 2013 einem bestimmten Erzeugnis vorbehalten ist, für ein anderes als ein dort genanntes Erzeugnis zu verwenden.</w:t>
      </w:r>
    </w:p>
    <w:p>
      <w:r>
        <w:rPr>
          <w:color w:val="555555"/>
          <w:sz w:val="17"/>
        </w:rPr>
        <w:t xml:space="preserve">Zitiervorschlag: § 4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