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MargMFV</w:t>
      </w:r>
    </w:p>
    <w:p>
      <w:r>
        <w:rPr>
          <w:color w:val="555555"/>
          <w:sz w:val="18"/>
        </w:rPr>
        <w:t xml:space="preserve">Margarine- und Mischfettverordnung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Margarineschmalz oder Mischfettschmalz, das den in der Anlage vorgeschriebenen Anforderungen nicht entspricht, darf nicht in den Verkehr gebracht werden.</w:t>
      </w:r>
    </w:p>
    <w:p>
      <w:r>
        <w:rPr>
          <w:color w:val="555555"/>
          <w:sz w:val="17"/>
        </w:rPr>
        <w:t xml:space="preserve">Zitiervorschlag: § 3 MargMFV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https://recht.nulegal.eu/gesetze/MargMFV/3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