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MarVerstMeldV — Vertraulichkeit und Datensicherheit</w:t>
      </w:r>
    </w:p>
    <w:p>
      <w:r>
        <w:rPr>
          <w:color w:val="555555"/>
          <w:sz w:val="18"/>
        </w:rPr>
        <w:t xml:space="preserve">BaFin-Hinweisgeberverordnung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stellt sicher, dass die Dokumentation der Verstoßmeldung in einem vertraulichen und sicheren System gespeichert wird.</w:t>
      </w:r>
    </w:p>
    <w:p>
      <w:r>
        <w:t xml:space="preserve">(2) Die Bundesanstalt ergreift die erforderlichen technischen und organisatorischen Maßnahmen, um die Ver- und Bearbeitung der Dokumentation der Verstoßmeldung so zu organisieren, dass</w:t>
      </w:r>
    </w:p>
    <w:p>
      <w:pPr>
        <w:ind w:left="420"/>
      </w:pPr>
      <w:r>
        <w:t xml:space="preserve">1. die Vertraulichkeit und der Schutz der meldenden Personen und der Personen, die Gegenstand der Verstoßmeldung sind, gewährleistet ist und</w:t>
      </w:r>
    </w:p>
    <w:p>
      <w:pPr>
        <w:ind w:left="420"/>
      </w:pPr>
      <w:r>
        <w:t xml:space="preserve">2. nur die Beschäftigten der Bundesanstalt, die die Dokumentation zur Erfüllung ihrer dienstlichen Aufgaben benötigen, Zugang zur Dokumentation haben.</w:t>
      </w:r>
    </w:p>
    <w:p>
      <w:r>
        <w:rPr>
          <w:color w:val="555555"/>
          <w:sz w:val="17"/>
        </w:rPr>
        <w:t xml:space="preserve">Zitiervorschlag: § 6 MarVerstMeldV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https://recht.nulegal.eu/gesetze/MarVerstMeldV/6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