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MarVerstMeldV — Spezielle Kommunikationskanäle</w:t>
      </w:r>
    </w:p>
    <w:p>
      <w:r>
        <w:rPr>
          <w:color w:val="555555"/>
          <w:sz w:val="18"/>
        </w:rPr>
        <w:t xml:space="preserve">BaFin-Hinweisgeberverordnung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richtet für die Entgegennahme von Verstoßmeldungen und für die Folgekommunikation spezielle Kommunikationskanäle ein.</w:t>
      </w:r>
    </w:p>
    <w:p>
      <w:r>
        <w:t xml:space="preserve">(2) Die speziellen Kommunikationskanäle müssen:</w:t>
      </w:r>
    </w:p>
    <w:p>
      <w:pPr>
        <w:ind w:left="420"/>
      </w:pPr>
      <w:r>
        <w:t xml:space="preserve">1. getrennt von den allgemeinen Kommunikationskanälen der Bundesanstalt, einschließlich der Kommunikationskanäle, über die die Bundesanstalt in ihren allgemeinen Arbeitsabläufen intern und mit Dritten kommuniziert, verlaufen,</w:t>
      </w:r>
    </w:p>
    <w:p>
      <w:pPr>
        <w:ind w:left="420"/>
      </w:pPr>
      <w:r>
        <w:t xml:space="preserve">2. so gestaltet, eingerichtet und betrieben werden, dass</w:t>
      </w:r>
    </w:p>
    <w:p>
      <w:pPr>
        <w:ind w:left="780"/>
      </w:pPr>
      <w:r>
        <w:t xml:space="preserve">a) die Vollständigkeit, Integrität und Vertraulichkeit der Informationen innerhalb der Bundesanstalt gewährleistet ist und</w:t>
      </w:r>
    </w:p>
    <w:p>
      <w:pPr>
        <w:ind w:left="780"/>
      </w:pPr>
      <w:r>
        <w:t xml:space="preserve">b) der Zugang zu den speziellen Kommunikationskanälen durch nicht befugte Beschäftigte der Bundesanstalt verhindert wird, und</w:t>
      </w:r>
    </w:p>
    <w:p>
      <w:pPr>
        <w:ind w:left="420"/>
      </w:pPr>
      <w:r>
        <w:t xml:space="preserve">3. die Speicherung entsprechend den Dokumentationspflichten gemäß § 5 gewährleisten.</w:t>
      </w:r>
    </w:p>
    <w:p>
      <w:r>
        <w:t xml:space="preserve">(3) Die Bundesanstalt schafft spezielle Kommunikationskanäle für:</w:t>
      </w:r>
    </w:p>
    <w:p>
      <w:pPr>
        <w:ind w:left="420"/>
      </w:pPr>
      <w:r>
        <w:t xml:space="preserve">1. schriftliche Verstoßmeldungen in Papierform oder auf elektronischem Wege,</w:t>
      </w:r>
    </w:p>
    <w:p>
      <w:pPr>
        <w:ind w:left="420"/>
      </w:pPr>
      <w:r>
        <w:t xml:space="preserve">2. telefonische Verstoßmeldungen mit der Möglichkeit, mit Einwilligung der meldenden Personen Gespräche aufzuzeichnen, und</w:t>
      </w:r>
    </w:p>
    <w:p>
      <w:pPr>
        <w:ind w:left="420"/>
      </w:pPr>
      <w:r>
        <w:t xml:space="preserve">3. Verstoßmeldungen durch ein persönliches Treffen mit den speziellen Beschäftigten.</w:t>
      </w:r>
    </w:p>
    <w:p>
      <w:r>
        <w:t xml:space="preserve">(4) Verstoßmeldungen, die auf anderen Wegen als über die speziellen Kommunikationskanäle bei der Bundesanstalt eingehen, werden unverändert und unter Nutzung der speziellen Kommunikationskanäle an die speziellen Beschäftigten weitergeleitet.</w:t>
      </w:r>
    </w:p>
    <w:p>
      <w:r>
        <w:t xml:space="preserve">(5) Die Bundesanstalt kann sich bei der Ausgestaltung, der Einrichtung und dem Betrieb der speziellen Kommunikationskanäle geeigneter Dritter bedienen.</w:t>
      </w:r>
    </w:p>
    <w:p>
      <w:r>
        <w:rPr>
          <w:color w:val="555555"/>
          <w:sz w:val="17"/>
        </w:rPr>
        <w:t xml:space="preserve">Zitiervorschlag: § 2 MarVerstMeldV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https://recht.nulegal.eu/gesetze/MarVerstMeldV/2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