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MalerLackAusbV 2021 — Aufteilung in zwei Teile und Zeitpunkt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16.05.2025 (konsolidierte Textfassung, kein amtliches Inkrafttretensdatum)</w:t>
      </w:r>
    </w:p>
    <w:p>
      <w:r>
        <w:t xml:space="preserve">(1) Die Gesellenprüfung besteht aus den Teilen 1 und 2.</w:t>
      </w:r>
    </w:p>
    <w:p>
      <w:r>
        <w:t xml:space="preserve">(2) Teil 1 findet am Ende des vierten Ausbildungshalbjahres statt.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7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