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MalerLackAusbV 2021 — Fortsetzung der Berufsausbildung</w:t>
      </w:r>
    </w:p>
    <w:p>
      <w:r>
        <w:rPr>
          <w:color w:val="555555"/>
          <w:sz w:val="18"/>
        </w:rPr>
        <w:t xml:space="preserve">Maler- und Lackiererausbildungsverordnung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Wer die Ausbildung zum Bauten- und Objektbeschichter oder zur Bauten- und Objektbeschichterin nach der Verordnung über die Berufsausbildung im Maler- und Lackierergewerbe vom 3. Juli 2003 (BGBl. I S. 1064, 1546) erfolgreich abgeschlossen hat, kann eine Ausbildung zum Maler und Lackierer oder zur Malerin und Lackiererin nach dieser Verordnung fortsetzen, soweit dies in einem – auch neuen – Berufsausbildungsvertrag vereinbart ist. Im Falle des Satzes 1 ist die Ausbildung zum Bauten- und Objektbeschichter oder zur Bauten- und Objektbeschichterin auf die ersten zwei Ausbildungsjahre nach dieser Verordnung anzurechnen und ersetzt Teil 1 der Gesellenprüfung nach § 7.</w:t>
      </w:r>
    </w:p>
    <w:p>
      <w:r>
        <w:rPr>
          <w:color w:val="555555"/>
          <w:sz w:val="17"/>
        </w:rPr>
        <w:t xml:space="preserve">Zitiervorschlag: § 50 MalerLackAusbV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https://recht.nulegal.eu/gesetze/MalerLackAusbV%202021/50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