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MalerLackAusbV 2021 — Gewichtung der Prüfungsbereiche und Anforderungen für das Bestehen der Gesellenprüfung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in der Fachrichtung Bauten- und Korrosionsschutz wie folgt zu gewichten:</w:t>
      </w:r>
    </w:p>
    <w:p>
      <w:r>
        <w:rPr>
          <w:rFonts w:ascii="Courier New" w:hAnsi="Courier New"/>
          <w:sz w:val="17"/>
        </w:rPr>
        <w:t xml:space="preserve">Herstellen von Oberflächen sowie Durchführen von Instandsetzungsmaßnahmen    mit 30 Prozent,</w:t>
      </w:r>
    </w:p>
    <w:p>
      <w:r>
        <w:rPr>
          <w:rFonts w:ascii="Courier New" w:hAnsi="Courier New"/>
          <w:sz w:val="17"/>
        </w:rPr>
        <w:t xml:space="preserve">Ausführen eines Kundenauftrags    mit 40 Prozent,</w:t>
      </w:r>
    </w:p>
    <w:p>
      <w:r>
        <w:rPr>
          <w:rFonts w:ascii="Courier New" w:hAnsi="Courier New"/>
          <w:sz w:val="17"/>
        </w:rPr>
        <w:t xml:space="preserve">Durchführen von Bautenschutzmaßnahmen    mit 10 Prozent,</w:t>
      </w:r>
    </w:p>
    <w:p>
      <w:r>
        <w:rPr>
          <w:rFonts w:ascii="Courier New" w:hAnsi="Courier New"/>
          <w:sz w:val="17"/>
        </w:rPr>
        <w:t xml:space="preserve">Durchführen von Korrosionsschutzmaßnahmen    mit 10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in der Fachrichtung Bauten- und Korrosionsschutz ist bestanden, wenn die Prüfungsleistungen auch unter Berücksichtigung einer mündlichen Ergänzungsprüfung nach § 41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Ausführen eines Kundenauftrags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rPr>
          <w:color w:val="555555"/>
          <w:sz w:val="17"/>
        </w:rPr>
        <w:t xml:space="preserve">Zitiervorschlag: § 40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