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MalerLackAusbV 2021 — Prüfungsbereich Durchführen von Bautenschutzmaßnahmen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Durchführen von Bautenschutzmaßnahmen hat der Prüfling nachzuweisen, dass er in der Lage ist,</w:t>
      </w:r>
    </w:p>
    <w:p>
      <w:pPr>
        <w:ind w:left="420"/>
      </w:pPr>
      <w:r>
        <w:t xml:space="preserve">1. Vorgehensweisen bei der Durchführung von Bautenschutzmaßnahmen an Objekten aus Metall und an Stahlbauwerken zu unterscheiden,</w:t>
      </w:r>
    </w:p>
    <w:p>
      <w:pPr>
        <w:ind w:left="420"/>
      </w:pPr>
      <w:r>
        <w:t xml:space="preserve">2. Vorgehensweisen bei der Instandhaltung und Beschichtung von Bauteilen und Bauwerken aus Beton und mineralischen Untergründen zu unterscheiden,</w:t>
      </w:r>
    </w:p>
    <w:p>
      <w:pPr>
        <w:ind w:left="420"/>
      </w:pPr>
      <w:r>
        <w:t xml:space="preserve">3. Arbeitsprozesse kundenorientiert zu gestalten,</w:t>
      </w:r>
    </w:p>
    <w:p>
      <w:pPr>
        <w:ind w:left="420"/>
      </w:pPr>
      <w:r>
        <w:t xml:space="preserve">4. Auswahl und Anwendung von Prüfverfahren für Untergründe aus Beton und mineralische Untergründe zu beschreiben und vorgegebene Ergebnisse einer Prüfung zu bewerten,</w:t>
      </w:r>
    </w:p>
    <w:p>
      <w:pPr>
        <w:ind w:left="420"/>
      </w:pPr>
      <w:r>
        <w:t xml:space="preserve">5. das Diagnostizieren von Schäden und Fehlern zu beschreiben,</w:t>
      </w:r>
    </w:p>
    <w:p>
      <w:pPr>
        <w:ind w:left="420"/>
      </w:pPr>
      <w:r>
        <w:t xml:space="preserve">6. Untergrundvorbereitungs- und Instandsetzungsverfahren auszuwählen und deren Anwendung zu beschreiben,</w:t>
      </w:r>
    </w:p>
    <w:p>
      <w:pPr>
        <w:ind w:left="420"/>
      </w:pPr>
      <w:r>
        <w:t xml:space="preserve">7. Aufmaße normgerecht aus Plänen zu erstellen,</w:t>
      </w:r>
    </w:p>
    <w:p>
      <w:pPr>
        <w:ind w:left="420"/>
      </w:pPr>
      <w:r>
        <w:t xml:space="preserve">8. Werkstoffe, insbesondere Beschichtungsstoffe, und Hilfsstoffe sowie Werkzeuge, Geräte, Maschinen und Anlagen für Bautenschutzmaßnahmen sowohl unter technischen, ökologischen als auch ökonomischen Gesichtspunkten zu unterscheiden und auszuwählen,</w:t>
      </w:r>
    </w:p>
    <w:p>
      <w:pPr>
        <w:ind w:left="420"/>
      </w:pPr>
      <w:r>
        <w:t xml:space="preserve">9. den Umgang mit arbeitsspezifischen Gefahrstoffen darzustellen,</w:t>
      </w:r>
    </w:p>
    <w:p>
      <w:pPr>
        <w:ind w:left="420"/>
      </w:pPr>
      <w:r>
        <w:t xml:space="preserve">10. die Vorbereitung von Oberflächen für Bautenschutzmaßnahmen zu beschreiben,</w:t>
      </w:r>
    </w:p>
    <w:p>
      <w:pPr>
        <w:ind w:left="420"/>
      </w:pPr>
      <w:r>
        <w:t xml:space="preserve">11. den Einsatz von Geräten und Gerüsten unter Beachtung von Normen, technischen Richtlinien und Herstellerinformationen zu beschreiben.</w:t>
      </w:r>
    </w:p>
    <w:p>
      <w:r>
        <w:t xml:space="preserve">(2) Der Prüfling soll Aufgaben schriftlich bearbeiten.</w:t>
      </w:r>
    </w:p>
    <w:p>
      <w:r>
        <w:t xml:space="preserve">(3) Die Prüfungszeit beträgt 75 Minuten.</w:t>
      </w:r>
    </w:p>
    <w:p>
      <w:r>
        <w:rPr>
          <w:color w:val="555555"/>
          <w:sz w:val="17"/>
        </w:rPr>
        <w:t xml:space="preserve">Zitiervorschlag: § 37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