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MalerLackAusbV 2021 — Prüfungsbereiche des Teiles 2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Gesellenprüfung findet in der Fachrichtung Bauten- und Korrosionsschutz in den folgenden Prüfungsbereichen statt:</w:t>
      </w:r>
    </w:p>
    <w:p>
      <w:pPr>
        <w:ind w:left="420"/>
      </w:pPr>
      <w:r>
        <w:t xml:space="preserve">1. Ausführen eines Kundenauftrags,</w:t>
      </w:r>
    </w:p>
    <w:p>
      <w:pPr>
        <w:ind w:left="420"/>
      </w:pPr>
      <w:r>
        <w:t xml:space="preserve">2. Durchführen von Bautenschutzmaßnahmen,</w:t>
      </w:r>
    </w:p>
    <w:p>
      <w:pPr>
        <w:ind w:left="420"/>
      </w:pPr>
      <w:r>
        <w:t xml:space="preserve">3. Durchführen von Korrosionsschutzmaßnahmen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35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