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MalerLackAusbV 2021 — Inhalt des Teiles 2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Gesellenprüfung in der Fachrichtung Bauten- und Korrosionsschutz erstreckt sich auf</w:t>
      </w:r>
    </w:p>
    <w:p>
      <w:pPr>
        <w:ind w:left="420"/>
      </w:pPr>
      <w:r>
        <w:t xml:space="preserve">1. die in Anlage Abschnitt A, E und G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34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