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MalerLackAusbV 2021 — Prüfungsbereich Durchführen von Maßnahmen zur Instandhaltung und Rekonstruktion an historischen Objekten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Maßnahmen zur Instandhaltung und Rekonstruktion an historischen Objekten hat der Prüfling nachzuweisen, dass er in der Lage ist,</w:t>
      </w:r>
    </w:p>
    <w:p>
      <w:pPr>
        <w:ind w:left="420"/>
      </w:pPr>
      <w:r>
        <w:t xml:space="preserve">1. Vorgehensweisen bei der Instandhaltung und Rekonstruktion von historischen Oberflächen und Untergründen zu unterscheiden,</w:t>
      </w:r>
    </w:p>
    <w:p>
      <w:pPr>
        <w:ind w:left="420"/>
      </w:pPr>
      <w:r>
        <w:t xml:space="preserve">2. Arbeitsprozesse kundenorientiert zu gestalten,</w:t>
      </w:r>
    </w:p>
    <w:p>
      <w:pPr>
        <w:ind w:left="420"/>
      </w:pPr>
      <w:r>
        <w:t xml:space="preserve">3. vorgegebene Befunde zur Instandhaltung und Rekonstruktion zu analysieren,</w:t>
      </w:r>
    </w:p>
    <w:p>
      <w:pPr>
        <w:ind w:left="420"/>
      </w:pPr>
      <w:r>
        <w:t xml:space="preserve">4. Gestaltungskonzepte zur Instandhaltung und Rekonstruktion entsprechend der Stilepochen und -merkmale zu erstellen,</w:t>
      </w:r>
    </w:p>
    <w:p>
      <w:pPr>
        <w:ind w:left="420"/>
      </w:pPr>
      <w:r>
        <w:t xml:space="preserve">5. Auswahl und Anwendung von Prüfverfahren für Untergründe zu beschreiben, vorgegebene Ergebnisse einer Prüfung zu bewerten und das Prüfen baulicher Gegebenheiten zu beschreiben,</w:t>
      </w:r>
    </w:p>
    <w:p>
      <w:pPr>
        <w:ind w:left="420"/>
      </w:pPr>
      <w:r>
        <w:t xml:space="preserve">6. Werkstoffe, insbesondere Beschichtungsstoffe, und Hilfsstoffe sowie Werkzeuge, Geräte, Maschinen und Anlagen sowohl unter ökologischen, ökonomischen, denkmalpflegerischen als auch historischen Gesichtspunkten zu unterscheiden und auszuwählen,</w:t>
      </w:r>
    </w:p>
    <w:p>
      <w:pPr>
        <w:ind w:left="420"/>
      </w:pPr>
      <w:r>
        <w:t xml:space="preserve">7. Aufmaße normgerecht aus Plänen zu erstellen,</w:t>
      </w:r>
    </w:p>
    <w:p>
      <w:pPr>
        <w:ind w:left="420"/>
      </w:pPr>
      <w:r>
        <w:t xml:space="preserve">8. Gefahrenpotentiale von historischen Werk- und Hilfsstoffen zu erkennen und den Umgang mit arbeitsspezifischen Gefahrstoffen zu beschreiben,</w:t>
      </w:r>
    </w:p>
    <w:p>
      <w:pPr>
        <w:ind w:left="420"/>
      </w:pPr>
      <w:r>
        <w:t xml:space="preserve">9. Ornamente zu entwickeln und die Übertragung zu erläutern,</w:t>
      </w:r>
    </w:p>
    <w:p>
      <w:pPr>
        <w:ind w:left="420"/>
      </w:pPr>
      <w:r>
        <w:t xml:space="preserve">10. dekorative Mal-, Schrift- und Arbeitstechniken zu unterscheiden und auszuwählen,</w:t>
      </w:r>
    </w:p>
    <w:p>
      <w:pPr>
        <w:ind w:left="420"/>
      </w:pPr>
      <w:r>
        <w:t xml:space="preserve">11. historische Mal-, Schrift- und Arbeitstechniken zu unterscheiden und auszuwählen,</w:t>
      </w:r>
    </w:p>
    <w:p>
      <w:pPr>
        <w:ind w:left="420"/>
      </w:pPr>
      <w:r>
        <w:t xml:space="preserve">12. Übertragungstechniken an historischen Oberflächen darzustellen.</w:t>
      </w:r>
    </w:p>
    <w:p>
      <w:r>
        <w:t xml:space="preserve">(2) Der Prüfling soll Aufgaben schriftlich bearbeiten.</w:t>
      </w:r>
    </w:p>
    <w:p>
      <w:r>
        <w:t xml:space="preserve">(3) Die Prüfungszeit beträgt 75 Minuten.</w:t>
      </w:r>
    </w:p>
    <w:p>
      <w:r>
        <w:rPr>
          <w:color w:val="555555"/>
          <w:sz w:val="17"/>
        </w:rPr>
        <w:t xml:space="preserve">Zitiervorschlag: § 29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