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MalerLackAusbV 2021 — Prüfungsbereiche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findet in der Fachrichtung Kirchenmalerei und Denkmalpflege in den folgenden Prüfungsbereichen statt:</w:t>
      </w:r>
    </w:p>
    <w:p>
      <w:pPr>
        <w:ind w:left="420"/>
      </w:pPr>
      <w:r>
        <w:t xml:space="preserve">1. Ausführen eines Kundenauftrags,</w:t>
      </w:r>
    </w:p>
    <w:p>
      <w:pPr>
        <w:ind w:left="420"/>
      </w:pPr>
      <w:r>
        <w:t xml:space="preserve">2. Durchführen von Maßnahmen zur Instandhaltung und Rekonstruktion an historischen Objekten,</w:t>
      </w:r>
    </w:p>
    <w:p>
      <w:pPr>
        <w:ind w:left="420"/>
      </w:pPr>
      <w:r>
        <w:t xml:space="preserve">3. Durchführen von Maßnahmen zur Reproduktion an historischen Objekten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27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