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MalerLackAusbV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in der Fachrichtung Energieeffizienz- und Gestaltungstechnik wie folgt zu gewichten:</w:t>
      </w:r>
    </w:p>
    <w:p>
      <w:r>
        <w:rPr>
          <w:rFonts w:ascii="Courier New" w:hAnsi="Courier New"/>
          <w:sz w:val="17"/>
        </w:rPr>
        <w:t xml:space="preserve">Herstellen von Oberflächen sowie Durchführen von Instandsetzungsmaßnahmen    mit 30 Prozent,</w:t>
      </w:r>
    </w:p>
    <w:p>
      <w:r>
        <w:rPr>
          <w:rFonts w:ascii="Courier New" w:hAnsi="Courier New"/>
          <w:sz w:val="17"/>
        </w:rPr>
        <w:t xml:space="preserve">Ausführen eines Kundenauftrags    mit 40 Prozent,</w:t>
      </w:r>
    </w:p>
    <w:p>
      <w:r>
        <w:rPr>
          <w:rFonts w:ascii="Courier New" w:hAnsi="Courier New"/>
          <w:sz w:val="17"/>
        </w:rPr>
        <w:t xml:space="preserve">Durchführen von Energieeffizienzmaßnahmen an Außenflächen von Bauten oder Anlagen und deren jeweiligen Bestandteilen    mit 10 Prozent,</w:t>
      </w:r>
    </w:p>
    <w:p>
      <w:r>
        <w:rPr>
          <w:rFonts w:ascii="Courier New" w:hAnsi="Courier New"/>
          <w:sz w:val="17"/>
        </w:rPr>
        <w:t xml:space="preserve">Durchführen von Energieeffizienzmaßnahmen an Innenflächen von Bauten oder Anlagen und deren Bestandteilen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in der Fachrichtung Energieeffizienz- und Gestaltungstechnik ist bestanden, wenn die Prüfungsleistungen auch unter Berücksichtigung einer mündlichen Ergänzungsprüfung nach § 25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Ausführen eines Kundenauftrags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rPr>
          <w:color w:val="555555"/>
          <w:sz w:val="17"/>
        </w:rPr>
        <w:t xml:space="preserve">Zitiervorschlag: § 24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