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MalerLackAusbV 2021 — Prüfungsbereiche des Teiles 2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Gesellenprüfung findet in der Fachrichtung Energieeffizienz- und Gestaltungstechnik in den folgenden Prüfungsbereichen statt:</w:t>
      </w:r>
    </w:p>
    <w:p>
      <w:pPr>
        <w:ind w:left="420"/>
      </w:pPr>
      <w:r>
        <w:t xml:space="preserve">1. Ausführen eines Kundenauftrags,</w:t>
      </w:r>
    </w:p>
    <w:p>
      <w:pPr>
        <w:ind w:left="420"/>
      </w:pPr>
      <w:r>
        <w:t xml:space="preserve">2. Durchführen von Energieeffizienzmaßnahmen an Außenflächen von Bauten oder Anlagen sowie deren jeweiligen Bestandteilen,</w:t>
      </w:r>
    </w:p>
    <w:p>
      <w:pPr>
        <w:ind w:left="420"/>
      </w:pPr>
      <w:r>
        <w:t xml:space="preserve">3. Durchführen von Energieeffizienzmaßnahmen an Innenflächen von Bauten oder Anlagen und deren Bestandteilen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19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