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MalerArbbV 12 — (zu § 1) Rechtsnormen des Tarifvertrags zur Regelung eines Mindestlohnes für gewerbliche Arbeitnehmer im Maler- und Lackiererhandwerk (TV Mindestlohn) vom 28. April 2025</w:t>
      </w:r>
    </w:p>
    <w:p>
      <w:r>
        <w:rPr>
          <w:color w:val="555555"/>
          <w:sz w:val="18"/>
        </w:rPr>
        <w:t xml:space="preserve">12. Malerarbeitsbedingungenverordnung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(Fundstelle: BGBl 2025 I Nr. 179, S. 3 - 7)</w:t>
      </w:r>
    </w:p>
    <w:p>
      <w:r>
        <w:t xml:space="preserve">(Text der Anlage siehe: TVMindestlohn Maler 12)</w:t>
      </w:r>
    </w:p>
    <w:p>
      <w:r>
        <w:rPr>
          <w:color w:val="555555"/>
          <w:sz w:val="17"/>
        </w:rPr>
        <w:t xml:space="preserve">Zitiervorschlag: Anlage MalerArbbV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https://recht.nulegal.eu/gesetze/MalerArbbV%2012/anlage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MalerArbbV 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