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MalerArbbV 12 — Außerkrafttreten</w:t>
      </w:r>
    </w:p>
    <w:p>
      <w:r>
        <w:rPr>
          <w:color w:val="555555"/>
          <w:sz w:val="18"/>
        </w:rPr>
        <w:t xml:space="preserve">12. Malerarbeitsbedingungenverordnung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Diese Verordnung tritt mit Ablauf des 30. Juni 2027 außer Kraft.</w:t>
      </w:r>
    </w:p>
    <w:p>
      <w:r>
        <w:rPr>
          <w:color w:val="555555"/>
          <w:sz w:val="17"/>
        </w:rPr>
        <w:t xml:space="preserve">Zitiervorschlag: § 2 MalerArbbV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https://recht.nulegal.eu/gesetze/MalerArbbV%2012/2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