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MalerArbbV 11 — Zwingende Arbeitsbedingungen</w:t>
      </w:r>
    </w:p>
    <w:p>
      <w:r>
        <w:rPr>
          <w:color w:val="555555"/>
          <w:sz w:val="18"/>
        </w:rPr>
        <w:t xml:space="preserve">11. Malerarbeitsbedingungenverordnung</w:t>
      </w:r>
    </w:p>
    <w:p>
      <w:r>
        <w:rPr>
          <w:color w:val="555555"/>
          <w:sz w:val="18"/>
        </w:rPr>
        <w:t xml:space="preserve">Historische Fassung: Stand 25.06.2023 bis 13.04.2025. Dies ist nicht die aktuelle Fassung.</w:t>
      </w:r>
    </w:p>
    <w:p>
      <w:r>
        <w:t xml:space="preserve">(1) Die in der Anlage zu dieser Verordnung aufgeführten Rechtsnormen des Tarifvertrags zur Regelung eines Mindestlohnes für gewerbliche Arbeitnehmer im Maler- und Lackiererhandwerk vom 16. Dezember 2022 (TV Mindestlohn), abgeschlossen zwischen dem Bundesverband Farbe, Gestaltung, Bautenschutz – Bundesinnungsverband des deutschen Maler- und Lackiererhandwerks und der Maler- und Lackierer-Innung des Saarlandes einerseits sowie der Industriegewerkschaft Bauen-Agrar-Umwelt andererseits, finden auf alle nicht an ihn gebundenen Arbeitgeber sowie Arbeitnehmerinnen und Arbeitnehmer Anwendung, die unter seinen am 1. Mai 2023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gelten auch für Arbeitsverhältnisse zwischen einem Arbeitgeber mit Sitz im Ausland und seinen im Geltungsbereich dieser Verordnung beschäftigten Arbeitnehmerinnen und Arbeitnehmern.</w:t>
      </w:r>
    </w:p>
    <w:p>
      <w:r>
        <w:t xml:space="preserve">(3) Wird eine Leiharbeitnehmerin oder ein Leiharbeitnehmer von einem Entleiher mit Tätigkeiten beschäftigt, die in den Geltungsbereich dieser Verordnung fallen, so hat der Verleiher ihr oder ihm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MalerArbbV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