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MaisPflSchMV — Anordnungsbefugnis</w:t>
      </w:r>
    </w:p>
    <w:p>
      <w:r>
        <w:rPr>
          <w:color w:val="555555"/>
          <w:sz w:val="18"/>
        </w:rPr>
        <w:t xml:space="preserve">Verordnung über das Inverkehrbringen und die Aussaat von mit bestimmten Pflanzenschutzmitteln behandeltem Maissaatgut</w:t>
      </w:r>
    </w:p>
    <w:p>
      <w:r>
        <w:rPr>
          <w:color w:val="555555"/>
          <w:sz w:val="18"/>
        </w:rPr>
        <w:t xml:space="preserve">Stand: 10.06.2019 (konsolidierte Textfassung, kein amtliches Inkrafttretensdatum)</w:t>
      </w:r>
    </w:p>
    <w:p>
      <w:r>
        <w:t xml:space="preserve">In Anpassung an die örtlichen Verhältnisse kann die zuständige Behörde für die Aussaat des in § 3 Absatz 2 bezeichneten Maissaatgutes ergänzende Anordnungen treffen, die erforderlich sind, um schädliche Auswirkungen auf die Gesundheit von Mensch und Tier oder unvertretbare Auswirkungen auf den Naturhaushalt, insbesondere durch eine Abdrift des Abriebes des Pflanzenschutzmittels, auf angrenzende Flächen zu verhindern.</w:t>
      </w:r>
    </w:p>
    <w:p>
      <w:r>
        <w:rPr>
          <w:color w:val="555555"/>
          <w:sz w:val="17"/>
        </w:rPr>
        <w:t xml:space="preserve">Zitiervorschlag: § 5 MaisPflSchMV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https://recht.nulegal.eu/gesetze/MaisPflSchMV/5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MaisPflSchMV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