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MainDonWasStrG 2 — Durchleiten von Wasser</w:t>
      </w:r>
    </w:p>
    <w:p>
      <w:r>
        <w:rPr>
          <w:color w:val="555555"/>
          <w:sz w:val="18"/>
        </w:rPr>
        <w:t xml:space="preserve">Zweites Gesetz über den rechtlichen Status der Main-Donau-Wasserstraße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Durchleiten von Wasser für wasserwirtschaftliche und landeskulturelle Zwecke durch die Wasserstraßen nach § 1 Abs. 1 Nr. 1 und 2 und die damit zusammenhängenden Fragen werden Bund und Bayern eine gesonderte Vereinbarung treffen.</w:t>
      </w:r>
    </w:p>
    <w:p>
      <w:r>
        <w:rPr>
          <w:color w:val="555555"/>
          <w:sz w:val="17"/>
        </w:rPr>
        <w:t xml:space="preserve">Zitiervorschlag: § 3 MainDonWasStrG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https://recht.nulegal.eu/gesetze/MainDonWasStrG%202/3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