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MahnVordrV</w:t>
      </w:r>
    </w:p>
    <w:p>
      <w:r>
        <w:rPr>
          <w:color w:val="555555"/>
          <w:sz w:val="18"/>
        </w:rPr>
        <w:t xml:space="preserve">Verordnung zur Einführung von Vordrucken für das Mahnverfahren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Artikel 1 Nr. 95 der Vereinfachungsnovelle vom 3. Dezember 1976 (BGBl. I S. 3281) eingefügten § 703c Abs. 1 Satz 1 und 2 Nr. 2 der Zivilprozeßordnung in der im Bundesgesetzblatt Teil III, Gliederungsnummer 310-4, veröffentlichten bereinigten Fassung wird mit Zustimmung des Bundesrates verordnet:</w:t>
      </w:r>
    </w:p>
    <w:p>
      <w:r>
        <w:rPr>
          <w:color w:val="555555"/>
          <w:sz w:val="17"/>
        </w:rPr>
        <w:t xml:space="preserve">Zitiervorschlag: Eingangsformel 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https://recht.nulegal.eu/gesetze/MahnVordrV/eingangsformel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