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MagvG — Anhörungsverfahren</w:t>
      </w:r>
    </w:p>
    <w:p>
      <w:r>
        <w:rPr>
          <w:color w:val="555555"/>
          <w:sz w:val="18"/>
        </w:rPr>
        <w:t xml:space="preserve">Maßnahmengesetzvorbereitungsgesetz</w:t>
      </w:r>
    </w:p>
    <w:p>
      <w:r>
        <w:rPr>
          <w:color w:val="555555"/>
          <w:sz w:val="18"/>
        </w:rPr>
        <w:t xml:space="preserve">Historische Fassung: Stand 14.08.2020 bis 29.12.2023. Dies ist nicht die aktuelle Fassung.</w:t>
      </w:r>
    </w:p>
    <w:p>
      <w:r>
        <w:t xml:space="preserve">(1) Für das Anhörungsverfahren gilt § 73 des Verwaltungsverfahrensgesetzes mit der Maßgabe, dass</w:t>
      </w:r>
    </w:p>
    <w:p>
      <w:pPr>
        <w:ind w:left="420"/>
      </w:pPr>
      <w:r>
        <w:t xml:space="preserve">1. die für das Einvernehmen nach Artikel 89 Absatz 3 des Grundgesetzes zuständige Landesbehörde bereits im Rahmen ihrer Stellungnahme nach § 73 Absatz 3a des Verwaltungsverfahrensgesetzes eine vorläufige Einschätzung zur Erteilung oder Versagung des Einvernehmens aufnimmt,</w:t>
      </w:r>
    </w:p>
    <w:p>
      <w:pPr>
        <w:ind w:left="420"/>
      </w:pPr>
      <w:r>
        <w:t xml:space="preserve">2. in der Bekanntmachung nach § 73 Absatz 5 Satz 2 des Verwaltungsverfahrensgesetzes zusätzlich darauf hinzuweisen ist, dass das Verkehrsinfrastrukturprojekt entweder durch Verwaltungsakt oder durch Erlass eines Maßnahmengesetzes zugelassen werden kann,</w:t>
      </w:r>
    </w:p>
    <w:p>
      <w:pPr>
        <w:ind w:left="420"/>
      </w:pPr>
      <w:r>
        <w:t xml:space="preserve">3. § 73 Absatz 9 des Verwaltungsverfahrensgesetzes keine Anwendung findet.</w:t>
      </w:r>
    </w:p>
    <w:p>
      <w:r>
        <w:t xml:space="preserve">(2) Kommt die zuständige Behörde nach Abschluss des Anhörungsverfahrens zu dem Ergebnis, dass keine triftigen Gründe für die Annahme bestehen, dass die Zulassung des Verkehrsinfrastrukturprojektes besser durch ein Maßnahmengesetz erreicht werden kann, so leitet sie dem Bundesministerium für Verkehr und digitale Infrastruktur einen entsprechend begründeten Entscheidungsvorschlag zu. Das Bundesministerium für Verkehr und digitale Infrastruktur kann auf Grundlage des Entscheidungsvorschlags davon absehen, ein Gesetzgebungsverfahren für ein Maßnahmengesetz zu veranlassen, wenn durch das Maßnahmengesetz die Zulassung des Verkehrsinfrastrukturprojektes zugunsten des Gemeinwohls nicht oder nur unwesentlich beschleunigt wird. In diesem Fall führt die nach diesem Gesetz zuständige Behörde das Verfahren über die Zulassung nach Maßgabe der Planfeststellungsregelungen, die für das jeweilige Verkehrsinfrastrukturprojekt gelten, fort.</w:t>
      </w:r>
    </w:p>
    <w:p>
      <w:r>
        <w:t xml:space="preserve">(3) Wenn das Bundesministerium für Verkehr und digitale Infrastruktur entscheidet, dass ein Vorhaben nach § 2 Satz 1 oder § 2a Satz 1 durch Verwaltungsakt zugelassen werden soll, berichtet es dem Deutschen Bundestag hierüber unverzüglich.</w:t>
      </w:r>
    </w:p>
    <w:p>
      <w:r>
        <w:rPr>
          <w:color w:val="555555"/>
          <w:sz w:val="17"/>
        </w:rPr>
        <w:t xml:space="preserve">Zitiervorschlag: § 7 MagvG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https://recht.nulegal.eu/gesetze/MagvG/7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