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MagvG — Unterrichtung über den Untersuchungsrahmen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(1) Für die Unterrichtung über den Untersuchungsrahmen gilt § 15 des Gesetzes über die Umweltverträglichkeitsprüfung nach Maßgabe der folgenden Absätze.</w:t>
      </w:r>
    </w:p>
    <w:p>
      <w:r>
        <w:t xml:space="preserve">(2) Die zuständige Behörde unterrichtet und berät den Träger des Vorhabens – abweichend von § 15 Absatz 1 Satz 1 des Gesetzes über die Umweltverträglichkeitsprüfung – in jedem Fall entsprechend dem Planungsstand des Verkehrsinfrastrukturprojektes frühzeitig über Inhalt, Umfang und Detailtiefe der Angaben, die er voraussichtlich in den UVP-Bericht aufnehmen muss (Untersuchungsrahmen).</w:t>
      </w:r>
    </w:p>
    <w:p>
      <w:r>
        <w:t xml:space="preserve">(3) Abweichend von § 15 Absatz 3 Satz 1 des Gesetzes über die Umweltverträglichkeitsprüfung muss vor der Unterrichtung die zuständige Behörde dem Träger des Vorhabens sowie den nach § 17 des Gesetzes über die Umweltverträglichkeitsprüfung zu beteiligenden Behörden Gelegenheit zu einer Besprechung geben.</w:t>
      </w:r>
    </w:p>
    <w:p>
      <w:r>
        <w:t xml:space="preserve">(4) Die Besprechung hat sich auf den Gegenstand, den Umfang und die Methoden der Umweltverträglichkeitsprüfung und der weiteren mit dem Verkehrsinfrastrukturprojekt verbundenen Umweltprüfungen zu erstrecken.</w:t>
      </w:r>
    </w:p>
    <w:p>
      <w:r>
        <w:t xml:space="preserve">(5) Die zuständige Behörde muss über § 15 des Gesetzes über die Umweltverträglichkeitsprüfung hinaus auch der betroffenen Öffentlichkeit nach § 2 Absatz 9 des Gesetzes über die Umweltverträglichkeitsprüfung Gelegenheit zur Teilnahme an der in Absatz 3 genannten Besprechung und zur Äußerung in dieser Besprechung geben.</w:t>
      </w:r>
    </w:p>
    <w:p>
      <w:r>
        <w:rPr>
          <w:color w:val="555555"/>
          <w:sz w:val="17"/>
        </w:rPr>
        <w:t xml:space="preserve">Zitiervorschlag: § 6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