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MagvG — Verkehrsinfrastrukturprojekte</w:t>
      </w:r>
    </w:p>
    <w:p>
      <w:r>
        <w:rPr>
          <w:color w:val="555555"/>
          <w:sz w:val="18"/>
        </w:rPr>
        <w:t xml:space="preserve">Maßnahmengesetzvorbereitungsgesetz</w:t>
      </w:r>
    </w:p>
    <w:p>
      <w:r>
        <w:rPr>
          <w:color w:val="555555"/>
          <w:sz w:val="18"/>
        </w:rPr>
        <w:t xml:space="preserve">Historische Fassung: Stand 05.04.2020 bis 29.12.2023. Dies ist nicht die aktuelle Fassung.</w:t>
      </w:r>
    </w:p>
    <w:p>
      <w:r>
        <w:t xml:space="preserve">Durch Maßnahmengesetz anstelle eines Verwaltungsakts kann der Deutsche Bundestag abweichend von § 18 Absatz 1 des Allgemeinen Eisenbahngesetzes und von § 14 Absatz 1 des Bundeswasserstraßengesetzes die folgenden Verkehrsinfrastrukturprojekte zulassen:</w:t>
      </w:r>
    </w:p>
    <w:p>
      <w:pPr>
        <w:ind w:left="420"/>
      </w:pPr>
      <w:r>
        <w:t xml:space="preserve">1. den Ausbau der Eisenbahnstrecke von München über Mühldorf nach Freilassing,</w:t>
      </w:r>
    </w:p>
    <w:p>
      <w:pPr>
        <w:ind w:left="420"/>
      </w:pPr>
      <w:r>
        <w:t xml:space="preserve">2. den Ausbau der Eisenbahnstrecke von Hof über Marktredwitz und Regensburg nach Obertraubling,</w:t>
      </w:r>
    </w:p>
    <w:p>
      <w:pPr>
        <w:ind w:left="420"/>
      </w:pPr>
      <w:r>
        <w:t xml:space="preserve">3. den Ausbau der Eisenbahnstrecke von Magdeburg nach Halle,</w:t>
      </w:r>
    </w:p>
    <w:p>
      <w:pPr>
        <w:ind w:left="420"/>
      </w:pPr>
      <w:r>
        <w:t xml:space="preserve">4. den Neubau der Kurve von Mönchehof nach Ihringshausen im Rahmen des Ausbaus der Eisenbahnstrecke von Paderborn nach Halle,</w:t>
      </w:r>
    </w:p>
    <w:p>
      <w:pPr>
        <w:ind w:left="420"/>
      </w:pPr>
      <w:r>
        <w:t xml:space="preserve">5. die Elektrifizierung der Eisenbahnstrecke von Geithain nach Chemnitz im Rahmen des Ausbaus der Eisenbahnstrecke von Leipzig nach Chemnitz,</w:t>
      </w:r>
    </w:p>
    <w:p>
      <w:pPr>
        <w:ind w:left="420"/>
      </w:pPr>
      <w:r>
        <w:t xml:space="preserve">6. den Ausbau und Neubau der Eisenbahnstrecke von Hannover nach Bielefeld,</w:t>
      </w:r>
    </w:p>
    <w:p>
      <w:pPr>
        <w:ind w:left="420"/>
      </w:pPr>
      <w:r>
        <w:t xml:space="preserve">6a. den Ausbau der Eisenbahnstrecke von Niebüll über Klanxbüll nach Westerland,</w:t>
      </w:r>
    </w:p>
    <w:p>
      <w:pPr>
        <w:ind w:left="420"/>
      </w:pPr>
      <w:r>
        <w:t xml:space="preserve">7. den Ausbau der Eisenbahnstrecke von der deutsch-niederländischen Grenze über Kaldenkirchen, Viersen und Rheydt nach Odenkirchen,</w:t>
      </w:r>
    </w:p>
    <w:p>
      <w:pPr>
        <w:ind w:left="420"/>
      </w:pPr>
      <w:r>
        <w:t xml:space="preserve">8. die Fahrrinnenanpassung der Außenweser und der Unterweser (Nord),</w:t>
      </w:r>
    </w:p>
    <w:p>
      <w:pPr>
        <w:ind w:left="420"/>
      </w:pPr>
      <w:r>
        <w:t xml:space="preserve">9. die Abladeoptimierung der Fahrrinnen des Mittelrheins,</w:t>
      </w:r>
    </w:p>
    <w:p>
      <w:pPr>
        <w:ind w:left="420"/>
      </w:pPr>
      <w:r>
        <w:t xml:space="preserve">10. die Fahrrinnenvertiefung des Untermains bis Aschaffenburg,</w:t>
      </w:r>
    </w:p>
    <w:p>
      <w:pPr>
        <w:ind w:left="420"/>
      </w:pPr>
      <w:r>
        <w:t xml:space="preserve">11. die Vertiefung des Nord-Ostsee-Kanals sowie</w:t>
      </w:r>
    </w:p>
    <w:p>
      <w:pPr>
        <w:ind w:left="420"/>
      </w:pPr>
      <w:r>
        <w:t xml:space="preserve">12. den Ausbau des Wesel-Datteln-Kanals bis Marl und den Ersatzneubau der „Großen Schleusen“ sowie die Brückenhebung bei diesem Ersatzneubau.</w:t>
      </w:r>
    </w:p>
    <w:p>
      <w:r>
        <w:t xml:space="preserve">Die Zulassung schließt die für den Betrieb des jeweiligen Verkehrsweges notwendigen Anlagen ein.</w:t>
      </w:r>
    </w:p>
    <w:p>
      <w:r>
        <w:rPr>
          <w:color w:val="555555"/>
          <w:sz w:val="17"/>
        </w:rPr>
        <w:t xml:space="preserve">Zitiervorschlag: § 2 MagvG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https://recht.nulegal.eu/gesetze/MagvG/2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