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MagvG — Gebühren</w:t>
      </w:r>
    </w:p>
    <w:p>
      <w:r>
        <w:rPr>
          <w:color w:val="555555"/>
          <w:sz w:val="18"/>
        </w:rPr>
        <w:t xml:space="preserve">Maßnahmengesetzvorbereitungsgesetz</w:t>
      </w:r>
    </w:p>
    <w:p>
      <w:r>
        <w:rPr>
          <w:color w:val="555555"/>
          <w:sz w:val="18"/>
        </w:rPr>
        <w:t xml:space="preserve">Historische Fassung: Stand 05.04.2020 bis 29.12.2023. Dies ist nicht die aktuelle Fassung.</w:t>
      </w:r>
    </w:p>
    <w:p>
      <w:r>
        <w:t xml:space="preserve">Das Eisenbahn-Bundesamt erhebt für individuell zurechenbare öffentliche Leistungen Gebühren und Auslagen für die Durchführung von vorbereitenden Verfahren. Die Gebührenart kann abweichend von den Vorschriften des Bundesgebührengesetzes geregelt werden.</w:t>
      </w:r>
    </w:p>
    <w:p>
      <w:r>
        <w:rPr>
          <w:color w:val="555555"/>
          <w:sz w:val="17"/>
        </w:rPr>
        <w:t xml:space="preserve">Zitiervorschlag: § 15 MagvG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https://recht.nulegal.eu/gesetze/MagvG/15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