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MagvG — Zusätzliche Regelungen der Behörde</w:t>
      </w:r>
    </w:p>
    <w:p>
      <w:r>
        <w:rPr>
          <w:color w:val="555555"/>
          <w:sz w:val="18"/>
        </w:rPr>
        <w:t xml:space="preserve">Maßnahmengesetzvorbereitungsgesetz</w:t>
      </w:r>
    </w:p>
    <w:p>
      <w:r>
        <w:rPr>
          <w:color w:val="555555"/>
          <w:sz w:val="18"/>
        </w:rPr>
        <w:t xml:space="preserve">Historische Fassung: Stand 05.04.2020 bis 29.12.2023. Dies ist nicht die aktuelle Fassung.</w:t>
      </w:r>
    </w:p>
    <w:p>
      <w:r>
        <w:t xml:space="preserve">Ohne Erlass einer Rechtsverordnung kann die zuständige Behörde nach § 3 Absatz 2 zusätzliche Regelungen treffen,</w:t>
      </w:r>
    </w:p>
    <w:p>
      <w:pPr>
        <w:ind w:left="420"/>
      </w:pPr>
      <w:r>
        <w:t xml:space="preserve">1. soweit ihr die abschließende Entscheidung in einem Maßnahmengesetz oder in einer Rechtsverordnung nach § 11 Absatz 1 oder 2 vorbehalten ist,</w:t>
      </w:r>
    </w:p>
    <w:p>
      <w:pPr>
        <w:ind w:left="420"/>
      </w:pPr>
      <w:r>
        <w:t xml:space="preserve">2. wenn nicht voraussehbare Wirkungen des Verkehrsinfrastrukturprojektes oder einer dem Maßnahmengesetz oder einer Rechtsverordnung nach § 11 Absatz 1 oder 2 entsprechenden Anlage auf Rechte Dritter erst nach Inkrafttreten des Maßnahmengesetzes oder einer solchen Rechtsverordnung auftreten und der Betroffene Vorkehrungen oder die Errichtung und Unterhaltung von Anlagen verlangt, die die nachteiligen Wirkungen ausschließen, oder</w:t>
      </w:r>
    </w:p>
    <w:p>
      <w:pPr>
        <w:ind w:left="420"/>
      </w:pPr>
      <w:r>
        <w:t xml:space="preserve">3. soweit es sich um Planänderungen von unwesentlicher Bedeutung handelt.</w:t>
      </w:r>
    </w:p>
    <w:p>
      <w:r>
        <w:t xml:space="preserve">Auf das Verfahren finden die für die Planfeststellung geltenden Vorschriften Anwendung.</w:t>
      </w:r>
    </w:p>
    <w:p>
      <w:r>
        <w:rPr>
          <w:color w:val="555555"/>
          <w:sz w:val="17"/>
        </w:rPr>
        <w:t xml:space="preserve">Zitiervorschlag: § 13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