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MagvG — Normenkontrollverfahren</w:t>
      </w:r>
    </w:p>
    <w:p>
      <w:r>
        <w:rPr>
          <w:color w:val="555555"/>
          <w:sz w:val="18"/>
        </w:rPr>
        <w:t xml:space="preserve">Maßnahmengesetzvorbereitungsgesetz</w:t>
      </w:r>
    </w:p>
    <w:p>
      <w:r>
        <w:rPr>
          <w:color w:val="555555"/>
          <w:sz w:val="18"/>
        </w:rPr>
        <w:t xml:space="preserve">Historische Fassung: Stand 05.04.2020 bis 29.12.2023. Dies ist nicht die aktuelle Fassung.</w:t>
      </w:r>
    </w:p>
    <w:p>
      <w:r>
        <w:t xml:space="preserve">Über die Gültigkeit einer Rechtsverordnung nach § 11 Absatz 1 und 2 entscheidet auf Antrag das Bundesverwaltungsgericht. § 47 der Verwaltungsgerichtsordnung ist auf das Verfahren beim Bundesverwaltungsgericht entsprechend anzuwenden.</w:t>
      </w:r>
    </w:p>
    <w:p>
      <w:r>
        <w:rPr>
          <w:color w:val="555555"/>
          <w:sz w:val="17"/>
        </w:rPr>
        <w:t xml:space="preserve">Zitiervorschlag: § 12 MagvG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https://recht.nulegal.eu/gesetze/MagvG/12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