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MagvG — Vollzugskontrolle; Unterrichtung der Europäischen Kommission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(1) Der zuständigen Behörde obliegt die Vollzugskontrolle. Sie überwacht, dass der Träger des Vorhabens die im Maßnahmengesetz festgelegten Maßnahmen gesetzeskonform umsetzt.</w:t>
      </w:r>
    </w:p>
    <w:p>
      <w:r>
        <w:t xml:space="preserve">(2) Ist bei einem Verkehrsinfrastrukturprojekt eine Unterrichtung der Europäischen Kommission gemäß § 34 Absatz 5 des Bundesnaturschutzgesetzes erforderlich, so erfolgt diese Unterrichtung durch die zuständige Behörde.</w:t>
      </w:r>
    </w:p>
    <w:p>
      <w:r>
        <w:rPr>
          <w:color w:val="555555"/>
          <w:sz w:val="17"/>
        </w:rPr>
        <w:t xml:space="preserve">Zitiervorschlag: § 10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