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MagvG — Gegenstand des Gesetzes</w:t>
      </w:r>
    </w:p>
    <w:p>
      <w:r>
        <w:rPr>
          <w:color w:val="555555"/>
          <w:sz w:val="18"/>
        </w:rPr>
        <w:t xml:space="preserve">Maßnahmengesetzvorbereitungsgesetz</w:t>
      </w:r>
    </w:p>
    <w:p>
      <w:r>
        <w:rPr>
          <w:color w:val="555555"/>
          <w:sz w:val="18"/>
        </w:rPr>
        <w:t xml:space="preserve">Historische Fassung: Stand 05.04.2020 bis 29.12.2023. Dies ist nicht die aktuelle Fassung.</w:t>
      </w:r>
    </w:p>
    <w:p>
      <w:r>
        <w:t xml:space="preserve">Gegenstand dieses Gesetzes ist es, ein Verfahren zu schaffen, um anschließend den Neu- oder Ausbau sowie die Änderung von Verkehrsinfrastruktur durch Gesetz anstelle eines Verwaltungsakts zulassen zu können.</w:t>
      </w:r>
    </w:p>
    <w:p>
      <w:r>
        <w:rPr>
          <w:color w:val="555555"/>
          <w:sz w:val="17"/>
        </w:rPr>
        <w:t xml:space="preserve">Zitiervorschlag: § 1 MagvG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https://recht.nulegal.eu/gesetze/MagvG/1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