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MaStRV — Registrierung von Änderungen</w:t>
      </w:r>
    </w:p>
    <w:p>
      <w:r>
        <w:rPr>
          <w:color w:val="555555"/>
          <w:sz w:val="18"/>
        </w:rPr>
        <w:t xml:space="preserve">Marktstammdatenregisterverordnung</w:t>
      </w:r>
    </w:p>
    <w:p>
      <w:r>
        <w:rPr>
          <w:color w:val="555555"/>
          <w:sz w:val="18"/>
        </w:rPr>
        <w:t xml:space="preserve">Stand: 10.06.2019 (konsolidierte Textfassung, kein amtliches Inkrafttretensdatum)</w:t>
      </w:r>
    </w:p>
    <w:p>
      <w:r>
        <w:t xml:space="preserve">(1) Änderungen, die die im Marktstammdatenregister eingetragenen Daten betreffen, muss der Verantwortliche innerhalb eines Monats nach ihrem Eintritt im Marktstammdatenregister registrieren.</w:t>
      </w:r>
    </w:p>
    <w:p>
      <w:r>
        <w:t xml:space="preserve">(2) Sofern die Leistung einer Stromerzeugungseinheit geändert werden soll und hierfür eine Zulassung nach Bundesrecht erforderlich ist, ist der Betreiber der Einheit verpflichtet, die Zulassung der Änderung der Leistung zu registrieren. Die Registrierung muss innerhalb eines Monats nach der Bekanntgabe der Zulassung erfolgen.</w:t>
      </w:r>
    </w:p>
    <w:p>
      <w:r>
        <w:rPr>
          <w:color w:val="555555"/>
          <w:sz w:val="17"/>
        </w:rPr>
        <w:t xml:space="preserve">Zitiervorschlag: § 7 MaStRV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https://recht.nulegal.eu/gesetze/MaStRV/7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