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MaStRV — Festlegungen</w:t>
      </w:r>
    </w:p>
    <w:p>
      <w:r>
        <w:rPr>
          <w:color w:val="555555"/>
          <w:sz w:val="18"/>
        </w:rPr>
        <w:t xml:space="preserve">Marktstammdatenregisterverordnung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kann Festlegungen nach § 29 Absatz 1 des Energiewirtschaftsgesetzes unter Beachtung der Zwecke des § 111e Absatz 1 des Energiewirtschaftsgesetzes treffen über:</w:t>
      </w:r>
    </w:p>
    <w:p>
      <w:pPr>
        <w:ind w:left="420"/>
      </w:pPr>
      <w:r>
        <w:t xml:space="preserve">1. weitere registrierungspflichtige Personen und die bei ihrer Registrierung einzutragenden Daten,</w:t>
      </w:r>
    </w:p>
    <w:p>
      <w:pPr>
        <w:ind w:left="420"/>
      </w:pPr>
      <w:r>
        <w:t xml:space="preserve">2. weitere zu registrierende Arten von Einheiten und die zur Registrierung Verpflichteten sowie über die bei der Registrierung einzutragenden Daten,</w:t>
      </w:r>
    </w:p>
    <w:p>
      <w:pPr>
        <w:ind w:left="420"/>
      </w:pPr>
      <w:r>
        <w:t xml:space="preserve">3. Daten, die abweichend von der Anlage zu dieser Verordnung nicht mehr einzutragen sind,</w:t>
      </w:r>
    </w:p>
    <w:p>
      <w:pPr>
        <w:ind w:left="420"/>
      </w:pPr>
      <w:r>
        <w:t xml:space="preserve">4. Daten, die abweichend von der Anlage zu dieser Verordnung als vertraulich gelten oder nicht mehr als vertraulich gelten,</w:t>
      </w:r>
    </w:p>
    <w:p>
      <w:pPr>
        <w:ind w:left="420"/>
      </w:pPr>
      <w:r>
        <w:t xml:space="preserve">5. Personen, die abweichend von § 3 Absatz 1 nicht registrierungspflichtig sind,</w:t>
      </w:r>
    </w:p>
    <w:p>
      <w:pPr>
        <w:ind w:left="420"/>
      </w:pPr>
      <w:r>
        <w:t xml:space="preserve">6. die Definitionen der einzutragenden Daten oder</w:t>
      </w:r>
    </w:p>
    <w:p>
      <w:pPr>
        <w:ind w:left="420"/>
      </w:pPr>
      <w:r>
        <w:t xml:space="preserve">7. Maßgaben für die Prüfung der Daten durch die Netzbetreiber nach § 13 und über Daten, die abweichend von der Spalte Netzbetreiberprüfung in den Tabellen der Anlage zu dieser Verordnung geprüft oder nicht mehr geprüft werden müssen.</w:t>
      </w:r>
    </w:p>
    <w:p>
      <w:r>
        <w:rPr>
          <w:color w:val="555555"/>
          <w:sz w:val="17"/>
        </w:rPr>
        <w:t xml:space="preserve">Zitiervorschlag: § 22 MaStRV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https://recht.nulegal.eu/gesetze/MaStRV/22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