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MaStRV — Ordnungswidrigkeiten</w:t>
      </w:r>
    </w:p>
    <w:p>
      <w:r>
        <w:rPr>
          <w:color w:val="555555"/>
          <w:sz w:val="18"/>
        </w:rPr>
        <w:t xml:space="preserve">Marktstammdatenregisterverordnung</w:t>
      </w:r>
    </w:p>
    <w:p>
      <w:r>
        <w:rPr>
          <w:color w:val="555555"/>
          <w:sz w:val="18"/>
        </w:rPr>
        <w:t xml:space="preserve">Stand: 17.05.2024 (konsolidierte Textfassung, kein amtliches Inkrafttretensdatum)</w:t>
      </w:r>
    </w:p>
    <w:p>
      <w:r>
        <w:t xml:space="preserve">Ordnungswidrig im Sinn des § 95 Absatz 1 Nummer 5 Buchstabe e des Energiewirtschaftsgesetzes handelt, wer vorsätzlich oder fahrlässig</w:t>
      </w:r>
    </w:p>
    <w:p>
      <w:pPr>
        <w:ind w:left="420"/>
      </w:pPr>
      <w:r>
        <w:t xml:space="preserve">1. entgegen § 3 Absatz 1, § 5 Absatz 1, 3 oder 4 Satz 1 oder § 7 Absatz 1 eine Registrierung nicht, nicht richtig, nicht in der vorgeschriebenen Weise oder nicht rechtzeitig vornimmt oder</w:t>
      </w:r>
    </w:p>
    <w:p>
      <w:pPr>
        <w:ind w:left="420"/>
      </w:pPr>
      <w:r>
        <w:t xml:space="preserve">2. einer vollziehbaren Anordnung nach § 10 Absatz 3 zuwiderhandelt.</w:t>
      </w:r>
    </w:p>
    <w:p>
      <w:r>
        <w:rPr>
          <w:color w:val="555555"/>
          <w:sz w:val="17"/>
        </w:rPr>
        <w:t xml:space="preserve">Zitiervorschlag: § 21 MaStRV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https://recht.nulegal.eu/gesetze/MaStRV/21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