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MaStRV — Nutzungsbestimmungen</w:t>
      </w:r>
    </w:p>
    <w:p>
      <w:r>
        <w:rPr>
          <w:color w:val="555555"/>
          <w:sz w:val="18"/>
        </w:rPr>
        <w:t xml:space="preserve">Marktstammdatenregisterverordnung</w:t>
      </w:r>
    </w:p>
    <w:p>
      <w:r>
        <w:rPr>
          <w:color w:val="555555"/>
          <w:sz w:val="18"/>
        </w:rPr>
        <w:t xml:space="preserve">Stand: 10.06.2019 (konsolidierte Textfassung, kein amtliches Inkrafttretensdatum)</w:t>
      </w:r>
    </w:p>
    <w:p>
      <w:r>
        <w:t xml:space="preserve">(1) Die Bundesnetzagentur kann im Rahmen dieser Verordnung durch Allgemeinverfügung weitere konkretisierende Bedingungen und Spezifikationen zur Nutzung des Marktstammdatenregisters erlassen. Insbesondere kann sie Formulare, Formatvorgaben und Registrierungsverfahren verbindlich vorgeben.</w:t>
      </w:r>
    </w:p>
    <w:p>
      <w:r>
        <w:t xml:space="preserve">(2) Die Bundesnetzagentur kann Marktakteuren und Behörden über elektronische Schnittstellen Zugang zu den im Marktstammdatenregister gespeicherten Daten ermöglichen.</w:t>
      </w:r>
    </w:p>
    <w:p>
      <w:r>
        <w:t xml:space="preserve">(3) Die Bundesnetzagentur kann für die Datenübermittlungen nach dieser Verordnung ein bestimmtes Format und ein etabliertes, dem Schutzbedarf angemessenes Verschlüsselungsverfahren vorgeben. Das Verschlüsselungsverfahren muss den Vorgaben des Bundesamtes für Sicherheit in der Informationstechnik entsprechen.</w:t>
      </w:r>
    </w:p>
    <w:p>
      <w:r>
        <w:rPr>
          <w:color w:val="555555"/>
          <w:sz w:val="17"/>
        </w:rPr>
        <w:t xml:space="preserve">Zitiervorschlag: § 20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