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MaStRV — Begriffsbestimmungen</w:t>
      </w:r>
    </w:p>
    <w:p>
      <w:r>
        <w:rPr>
          <w:color w:val="555555"/>
          <w:sz w:val="18"/>
        </w:rPr>
        <w:t xml:space="preserve">Marktstammdatenregisterverordnung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 dieser Verordnung ist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„Betreiber“, wer unabhängig vom Eigentum eine Einheit oder eine EEG- oder KWK-Anlage nutzt,</w:t>
      </w:r>
    </w:p>
    <w:p>
      <w:pPr>
        <w:ind w:left="420"/>
      </w:pPr>
      <w:r>
        <w:t xml:space="preserve">3. „EEG-Anlage“ jede Anlage zur Erzeugung von Strom, die nach der für sie maßgeblichen Fassung des Erneuerbare-Energien-Gesetzes eine Anlage ist,</w:t>
      </w:r>
    </w:p>
    <w:p>
      <w:pPr>
        <w:ind w:left="420"/>
      </w:pPr>
      <w:r>
        <w:t xml:space="preserve">4. „Einheit“ jede und jeder ortsfeste</w:t>
      </w:r>
    </w:p>
    <w:p>
      <w:pPr>
        <w:ind w:left="780"/>
      </w:pPr>
      <w:r>
        <w:t xml:space="preserve">a) Gaserzeugungseinheit,</w:t>
      </w:r>
    </w:p>
    <w:p>
      <w:pPr>
        <w:ind w:left="780"/>
      </w:pPr>
      <w:r>
        <w:t xml:space="preserve">b) Gasspeicher,</w:t>
      </w:r>
    </w:p>
    <w:p>
      <w:pPr>
        <w:ind w:left="780"/>
      </w:pPr>
      <w:r>
        <w:t xml:space="preserve">c) Gasverbrauchseinheit,</w:t>
      </w:r>
    </w:p>
    <w:p>
      <w:pPr>
        <w:ind w:left="780"/>
      </w:pPr>
      <w:r>
        <w:t xml:space="preserve">d) Stromerzeugungseinheit,</w:t>
      </w:r>
    </w:p>
    <w:p>
      <w:pPr>
        <w:ind w:left="780"/>
      </w:pPr>
      <w:r>
        <w:t xml:space="preserve">e) Stromspeicher,</w:t>
      </w:r>
    </w:p>
    <w:p>
      <w:pPr>
        <w:ind w:left="780"/>
      </w:pPr>
      <w:r>
        <w:t xml:space="preserve">f) Stromverbrauchseinheit,</w:t>
      </w:r>
    </w:p>
    <w:p>
      <w:pPr>
        <w:ind w:left="420"/>
      </w:pPr>
      <w:r>
        <w:t xml:space="preserve">5. „Gaserzeugungseinheit“ jede technische Einrichtung zur Erzeugung von Gas,</w:t>
      </w:r>
    </w:p>
    <w:p>
      <w:pPr>
        <w:ind w:left="420"/>
      </w:pPr>
      <w:r>
        <w:t xml:space="preserve">6. „Gasspeicher“ jede technische Einrichtung zur Zwischenspeicherung von Gas,</w:t>
      </w:r>
    </w:p>
    <w:p>
      <w:pPr>
        <w:ind w:left="420"/>
      </w:pPr>
      <w:r>
        <w:t xml:space="preserve">7. „Gasverbrauchseinheit“ jede technische Einrichtung zum Verbrauch von Gas,</w:t>
      </w:r>
    </w:p>
    <w:p>
      <w:pPr>
        <w:ind w:left="420"/>
      </w:pPr>
      <w:r>
        <w:t xml:space="preserve">8. „KWK-Anlage“ jede ortsfeste technische Anlage, in der gleichzeitig Strom und Nutzwärme erzeugt werden,</w:t>
      </w:r>
    </w:p>
    <w:p>
      <w:pPr>
        <w:ind w:left="420"/>
      </w:pPr>
      <w:r>
        <w:t xml:space="preserve">9. „Marktakteur“ jede natürliche oder juristische Person, die am Energiemarkt teilnimmt,</w:t>
      </w:r>
    </w:p>
    <w:p>
      <w:pPr>
        <w:ind w:left="420"/>
      </w:pPr>
      <w:r>
        <w:t xml:space="preserve">10. „Projekt“ jede Einheit in der Entwurfs- oder Errichtungsphase, deren Inbetriebnahme geplant ist,</w:t>
      </w:r>
    </w:p>
    <w:p>
      <w:pPr>
        <w:ind w:left="420"/>
      </w:pPr>
      <w:r>
        <w:t xml:space="preserve">11. „Stromerzeugungseinheit“ jede technische Einrichtung, die unabhängig vom eingesetzten Energieträger direkt Strom erzeugt; bei einer Solaranlage ist jedes Modul eine eigenständige Stromerzeugungseinheit,</w:t>
      </w:r>
    </w:p>
    <w:p>
      <w:pPr>
        <w:ind w:left="420"/>
      </w:pPr>
      <w:r>
        <w:t xml:space="preserve">12. „Stromlieferant“ jede natürliche oder juristische Person, die Strom an andere liefert,</w:t>
      </w:r>
    </w:p>
    <w:p>
      <w:pPr>
        <w:ind w:left="420"/>
      </w:pPr>
      <w:r>
        <w:t xml:space="preserve">13. „Stromspeicher“ jede technische Einrichtung zur Zwischenspeicherung von elektrischer Energie,</w:t>
      </w:r>
    </w:p>
    <w:p>
      <w:pPr>
        <w:ind w:left="420"/>
      </w:pPr>
      <w:r>
        <w:t xml:space="preserve">14. „Stromverbrauchseinheit“ jede technische Einrichtung, die Strom verbraucht,</w:t>
      </w:r>
    </w:p>
    <w:p>
      <w:pPr>
        <w:ind w:left="420"/>
      </w:pPr>
      <w:r>
        <w:t xml:space="preserve">15. „Transportkunde“ jeder Gasgroßhändler und Gaslieferant einschließlich der Handelsabteilung eines vertikal integrierten Unternehmens,</w:t>
      </w:r>
    </w:p>
    <w:p>
      <w:pPr>
        <w:ind w:left="420"/>
      </w:pPr>
      <w:r>
        <w:t xml:space="preserve">16. „Webportal“ die elektronische Plattform des Marktstammdatenregisters im Internet.</w:t>
      </w:r>
    </w:p>
    <w:p>
      <w:r>
        <w:rPr>
          <w:color w:val="555555"/>
          <w:sz w:val="17"/>
        </w:rPr>
        <w:t xml:space="preserve">Zitiervorschlag: § 2 MaStRV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https://recht.nulegal.eu/gesetze/MaStRV/2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