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MaStRV — Öffentliche Zugänglichkeit der Daten</w:t>
      </w:r>
    </w:p>
    <w:p>
      <w:r>
        <w:rPr>
          <w:color w:val="555555"/>
          <w:sz w:val="18"/>
        </w:rPr>
        <w:t xml:space="preserve">Marktstammdatenregisterverordnung</w:t>
      </w:r>
    </w:p>
    <w:p>
      <w:r>
        <w:rPr>
          <w:color w:val="555555"/>
          <w:sz w:val="18"/>
        </w:rPr>
        <w:t xml:space="preserve">Stand: 17.05.2024 (konsolidierte Textfassung, kein amtliches Inkrafttretensdatum)</w:t>
      </w:r>
    </w:p>
    <w:p>
      <w:r>
        <w:t xml:space="preserve">(1) Die im Marktstammdatenregister gespeicherten Daten werden wie folgt veröffentlicht:</w:t>
      </w:r>
    </w:p>
    <w:p>
      <w:pPr>
        <w:ind w:left="420"/>
      </w:pPr>
      <w:r>
        <w:t xml:space="preserve">1. Daten zu Einheiten und Anlagen mit Ausnahme von:</w:t>
      </w:r>
    </w:p>
    <w:p>
      <w:pPr>
        <w:ind w:left="780"/>
      </w:pPr>
      <w:r>
        <w:t xml:space="preserve">a) Standortangaben zu Straße, Hausnummer, Flurstücksbezeichnungen und Geokoordinaten von Erzeugungseinheiten nach der Anlage Tabelle II bis V mit einer Leistung von höchstens 30 Kilowatt, wobei auf zu Solaranlagen gehörende Einheiten § 5 Absatz 1 Satz 2 anzuwenden ist,</w:t>
      </w:r>
    </w:p>
    <w:p>
      <w:pPr>
        <w:ind w:left="780"/>
      </w:pPr>
      <w:r>
        <w:t xml:space="preserve">b) Daten, die nach der Anlage als vertraulich gekennzeichnet sind, und</w:t>
      </w:r>
    </w:p>
    <w:p>
      <w:pPr>
        <w:ind w:left="780"/>
      </w:pPr>
      <w:r>
        <w:t xml:space="preserve">c) Daten zu Einheiten, die nach § 2 Absatz 6 in Verbindung mit Anhang 1 der BSI-Kritisverordnung als kritische Infrastrukturen gelten, soweit der Betreiber gegenüber der Bundesnetzagentur nachweist, dass die Daten besonders schutzbedürftig sind;</w:t>
      </w:r>
    </w:p>
    <w:p>
      <w:pPr>
        <w:ind w:left="420"/>
      </w:pPr>
      <w:r>
        <w:t xml:space="preserve">2. Daten zu Marktakteuren nach der Anlage Tabelle I werden nicht veröffentlicht, wenn der Marktakteur eine natürliche Person ist; Daten sonstiger Marktakteure werden veröffentlicht.</w:t>
      </w:r>
    </w:p>
    <w:p>
      <w:r>
        <w:t xml:space="preserve">Betreiber von mehreren Stromerzeugungseinheiten dürfen aus Vertraulichkeitsgründen verlangen, dass die Daten zu Einheiten zusammengefasst veröffentlicht werden, sofern diese Einheiten über einen oder mehrere gemeinsame Netzanschlusspunkte mit einem Netz verbunden sind. Die Zusammenfassung nach Satz 2 ist nicht anzuwenden auf Einheiten, die zu EEG- und KWK-Anlagen gehören.</w:t>
      </w:r>
    </w:p>
    <w:p>
      <w:r>
        <w:t xml:space="preserve">(2) Die Bundesnetzagentur kann von einer Veröffentlichung der Daten zu registrierten Zulassungen absehen, wenn dies für eine effiziente Durchführung von Ausschreibungen nach dem Erneuerbare-Energien-Gesetz, dem Windenergie-auf-See-Gesetz oder dem Kraft-Wärme-Kopplungsgesetz erforderlich ist.</w:t>
      </w:r>
    </w:p>
    <w:p>
      <w:r>
        <w:rPr>
          <w:color w:val="555555"/>
          <w:sz w:val="17"/>
        </w:rPr>
        <w:t xml:space="preserve">Zitiervorschlag: § 15 MaStRV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https://recht.nulegal.eu/gesetze/MaStRV/15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