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MaSanV</w:t>
      </w:r>
    </w:p>
    <w:p>
      <w:r>
        <w:rPr>
          <w:color w:val="555555"/>
          <w:sz w:val="18"/>
        </w:rPr>
        <w:t xml:space="preserve">Sanierungsplanmindestanforderungsverordnung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Auf Grund des § 21a Absatz 1 Satz 1 und 3 des Sanierungs- und Abwicklungsgesetzes, der durch Artikel 1 Nummer 7 des Gesetzes vom 2. November 2015 (BGBl. I S. 1864) eingefügt worden ist, in Verbindung mit § 1c Buchstabe a der Verordnung zur Übertragung von Befugnissen zum Erlass von Rechtsverordnungen auf die Bundesanstalt für Finanzdienstleistungsaufsicht, der durch Artikel 1 der Verordnung vom 11. Dezember 2017 (BGBl. I S. 3908) eingefügt worden ist, verordnet die Bundesanstalt für Finanzdienstleistungsaufsicht im Einvernehmen mit der Deutschen Bundesbank und nach Anhörung der Abwicklungsbehörde:</w:t>
      </w:r>
    </w:p>
    <w:p>
      <w:r>
        <w:rPr>
          <w:color w:val="555555"/>
          <w:sz w:val="17"/>
        </w:rPr>
        <w:t xml:space="preserve">Zitiervorschlag: Eingangsformel MaSanV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https://recht.nulegal.eu/gesetze/MaSanV/eingangsformel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