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1 MaSanV — Liste der Indikatoren des Sanierungsplans</w:t>
      </w:r>
    </w:p>
    <w:p>
      <w:r>
        <w:rPr>
          <w:color w:val="555555"/>
          <w:sz w:val="18"/>
        </w:rPr>
        <w:t xml:space="preserve">Sanierungsplanmindestanforderungsverordnung</w:t>
      </w:r>
    </w:p>
    <w:p>
      <w:r>
        <w:rPr>
          <w:color w:val="555555"/>
          <w:sz w:val="18"/>
        </w:rPr>
        <w:t xml:space="preserve">Stand: 07.12.2024 (konsolidierte Textfassung, kein amtliches Inkrafttretensdatum)</w:t>
      </w:r>
    </w:p>
    <w:p>
      <w:r>
        <w:t xml:space="preserve">(Fundstelle: BGBl. I 2020, 653)</w:t>
      </w:r>
    </w:p>
    <w:p>
      <w:pPr>
        <w:ind w:left="420"/>
      </w:pPr>
      <w:r>
        <w:t xml:space="preserve">1. Kapitalindikatoren</w:t>
      </w:r>
    </w:p>
    <w:p>
      <w:pPr>
        <w:ind w:left="780"/>
      </w:pPr>
      <w:r>
        <w:t xml:space="preserve">a) Harte Kernkapitalquote</w:t>
      </w:r>
    </w:p>
    <w:p>
      <w:pPr>
        <w:ind w:left="780"/>
      </w:pPr>
      <w:r>
        <w:t xml:space="preserve">b) Gesamtkapitalquote</w:t>
      </w:r>
    </w:p>
    <w:p>
      <w:pPr>
        <w:ind w:left="780"/>
      </w:pPr>
      <w:r>
        <w:t xml:space="preserve">c) Verschuldungsquote</w:t>
      </w:r>
    </w:p>
    <w:p>
      <w:pPr>
        <w:ind w:left="780"/>
      </w:pPr>
      <w:r>
        <w:t xml:space="preserve">d) Quote oder Quoten der Mindestanforderung an Eigenmittel und berücksichtigungsfähige Verbindlichkeiten</w:t>
      </w:r>
    </w:p>
    <w:p>
      <w:pPr>
        <w:ind w:left="420"/>
      </w:pPr>
      <w:r>
        <w:t xml:space="preserve">2. Liquiditätsindikatoren</w:t>
      </w:r>
    </w:p>
    <w:p>
      <w:pPr>
        <w:ind w:left="780"/>
      </w:pPr>
      <w:r>
        <w:t xml:space="preserve">a) Liquiditätsdeckungsquote</w:t>
      </w:r>
    </w:p>
    <w:p>
      <w:pPr>
        <w:ind w:left="780"/>
      </w:pPr>
      <w:r>
        <w:t xml:space="preserve">b) Strukturelle Liquiditätsquote</w:t>
      </w:r>
    </w:p>
    <w:p>
      <w:pPr>
        <w:ind w:left="780"/>
      </w:pPr>
      <w:r>
        <w:t xml:space="preserve">c) Verfügbare zentralbankfähige unbelastete Vermögenswerte</w:t>
      </w:r>
    </w:p>
    <w:p>
      <w:pPr>
        <w:ind w:left="780"/>
      </w:pPr>
      <w:r>
        <w:t xml:space="preserve">d) Liquiditätsposition</w:t>
      </w:r>
    </w:p>
    <w:p>
      <w:pPr>
        <w:ind w:left="420"/>
      </w:pPr>
      <w:r>
        <w:t xml:space="preserve">3. Rentabilitätsindikatoren</w:t>
      </w:r>
    </w:p>
    <w:p>
      <w:pPr>
        <w:ind w:left="780"/>
      </w:pPr>
      <w:r>
        <w:t xml:space="preserve">a) Kapitalrendite oder Eigenkapitalrendite</w:t>
      </w:r>
    </w:p>
    <w:p>
      <w:pPr>
        <w:ind w:left="780"/>
      </w:pPr>
      <w:r>
        <w:t xml:space="preserve">b) Bedeutende operative Verluste</w:t>
      </w:r>
    </w:p>
    <w:p>
      <w:pPr>
        <w:ind w:left="420"/>
      </w:pPr>
      <w:r>
        <w:t xml:space="preserve">4. Indikatoren für die Qualität der Vermögenswerte</w:t>
      </w:r>
    </w:p>
    <w:p>
      <w:pPr>
        <w:ind w:left="780"/>
      </w:pPr>
      <w:r>
        <w:t xml:space="preserve">a) Anstiegsrate der notleidenden Kredite (brutto)</w:t>
      </w:r>
    </w:p>
    <w:p>
      <w:pPr>
        <w:ind w:left="780"/>
      </w:pPr>
      <w:r>
        <w:t xml:space="preserve">b) Deckungsquote (Rückstellungen/Gesamtwert der notleidenden Kredite)</w:t>
      </w:r>
    </w:p>
    <w:p>
      <w:pPr>
        <w:ind w:left="420"/>
      </w:pPr>
      <w:r>
        <w:t xml:space="preserve">5. Marktbasierte Indikatoren</w:t>
      </w:r>
    </w:p>
    <w:p>
      <w:pPr>
        <w:ind w:left="780"/>
      </w:pPr>
      <w:r>
        <w:t xml:space="preserve">a) Rating mit negativem Ausblick oder Bonitätsherabstufung</w:t>
      </w:r>
    </w:p>
    <w:p>
      <w:pPr>
        <w:ind w:left="780"/>
      </w:pPr>
      <w:r>
        <w:t xml:space="preserve">b) Credit-Default-Swap-Spread (CDS-Spread)</w:t>
      </w:r>
    </w:p>
    <w:p>
      <w:pPr>
        <w:ind w:left="780"/>
      </w:pPr>
      <w:r>
        <w:t xml:space="preserve">c) Aktienkursschwankung</w:t>
      </w:r>
    </w:p>
    <w:p>
      <w:pPr>
        <w:ind w:left="420"/>
      </w:pPr>
      <w:r>
        <w:t xml:space="preserve">6. Makroökonomische Indikatoren</w:t>
      </w:r>
    </w:p>
    <w:p>
      <w:pPr>
        <w:ind w:left="780"/>
      </w:pPr>
      <w:r>
        <w:t xml:space="preserve">a) Veränderungen des Bruttoinlandprodukts</w:t>
      </w:r>
    </w:p>
    <w:p>
      <w:pPr>
        <w:ind w:left="780"/>
      </w:pPr>
      <w:r>
        <w:t xml:space="preserve">b) Credit Default Swaps auf öffentliche Schuldtitel</w:t>
      </w:r>
    </w:p>
    <w:p>
      <w:r>
        <w:rPr>
          <w:color w:val="555555"/>
          <w:sz w:val="17"/>
        </w:rPr>
        <w:t xml:space="preserve">Zitiervorschlag: Anlage 1 MaSanV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https://recht.nulegal.eu/gesetze/MaSanV/anlage-1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1 MaSanV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