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MaSanV — Interner Prozess</w:t>
      </w:r>
    </w:p>
    <w:p>
      <w:r>
        <w:rPr>
          <w:color w:val="555555"/>
          <w:sz w:val="18"/>
        </w:rPr>
        <w:t xml:space="preserve">Sanierungsplanmindestanforderungsverordnung</w:t>
      </w:r>
    </w:p>
    <w:p>
      <w:r>
        <w:rPr>
          <w:color w:val="555555"/>
          <w:sz w:val="18"/>
        </w:rPr>
        <w:t xml:space="preserve">Stand: 07.12.2024 (konsolidierte Textfassung, kein amtliches Inkrafttretensdatum)</w:t>
      </w:r>
    </w:p>
    <w:p>
      <w:r>
        <w:t xml:space="preserve">(1) Die in § 13 Absatz 2 Nummer 6 des Sanierungs- und Abwicklungsgesetzes und in Artikel 5 Absatz 3 Buchstabe a der Delegierten Verordnung (EU) 2016/1075 genannten Prozesse haben vorzusehen, dass die Geschäftsleitung unverzüglich, spätestens jedoch innerhalb eines Bankarbeitstages nach Erreichen des Schwellenwerts eines Indikators über diesen Umstand informiert wird und unverzüglich entscheidet, ob Handlungsoptionen ergriffen werden. Der Sanierungsplan hat in diesem Zusammenhang vorzusehen, dass die von der Geschäftsleitung getroffene Entscheidung zu dokumentieren ist. Er hat des Weiteren vorzusehen, dass die Aufsichtsbehörde unverzüglich, spätestens jedoch am nächsten Bankarbeitstag nach Information der Geschäftsleitung nach Absatz 1 Satz 1 über das Erreichen des Schwellenwerts des Indikators und unverzüglich über die von der Geschäftsleitung getroffene Entscheidung jeweils umfassend informiert wird.</w:t>
      </w:r>
    </w:p>
    <w:p>
      <w:r>
        <w:t xml:space="preserve">(2) Es ist zu beschreiben, wie sichergestellt wird, dass die für die Umsetzung von Handlungsoptionen erforderlichen Informationen aus dem Berichtssystem richtig, vollständig und aktuell sind.</w:t>
      </w:r>
    </w:p>
    <w:p>
      <w:r>
        <w:rPr>
          <w:color w:val="555555"/>
          <w:sz w:val="17"/>
        </w:rPr>
        <w:t xml:space="preserve">Zitiervorschlag: § 6 MaSanV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https://recht.nulegal.eu/gesetze/MaSanV/6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