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MaSanV — Beschreibung der für den Sanierungsplan relevanten Unternehmen</w:t>
      </w:r>
    </w:p>
    <w:p>
      <w:r>
        <w:rPr>
          <w:color w:val="555555"/>
          <w:sz w:val="18"/>
        </w:rPr>
        <w:t xml:space="preserve">Sanierungsplanmindestanforderungsverordnung</w:t>
      </w:r>
    </w:p>
    <w:p>
      <w:r>
        <w:rPr>
          <w:color w:val="555555"/>
          <w:sz w:val="18"/>
        </w:rPr>
        <w:t xml:space="preserve">Stand: 05.04.2020 (konsolidierte Textfassung, kein amtliches Inkrafttretensdatum)</w:t>
      </w:r>
    </w:p>
    <w:p>
      <w:r>
        <w:t xml:space="preserve">Bei der strategischen Analyse des Instituts oder der Gruppe nach § 13 Absatz 2 Nummer 2 des Sanierungs- und Abwicklungsgesetzes sowie bei der allgemeinen Beschreibung der vom Sanierungsplan erfassten Unternehmen nach Artikel 7 Absatz 1 Buchstabe a der Delegierten Verordnung (EU) 2016/1075 ist ein Organigramm, das alle für den Sanierungsplan relevanten Unternehmen umfasst, in den Sanierungsplan aufzunehmen. Im Organigramm oder an anderer geeigneter Stelle des Sanierungsplans sind auch die jeweiligen Beteiligungsquoten auszuweisen. Ebenso sind dort bestehende Beherrschungs- und Ergebnisabführungsverträge zu beschreiben.</w:t>
      </w:r>
    </w:p>
    <w:p>
      <w:r>
        <w:rPr>
          <w:color w:val="555555"/>
          <w:sz w:val="17"/>
        </w:rPr>
        <w:t xml:space="preserve">Zitiervorschlag: § 5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