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MaSanV — Inkrafttreten</w:t>
      </w:r>
    </w:p>
    <w:p>
      <w:r>
        <w:rPr>
          <w:color w:val="555555"/>
          <w:sz w:val="18"/>
        </w:rPr>
        <w:t xml:space="preserve">Sanierungsplanmindestanforderungsverordnung</w:t>
      </w:r>
    </w:p>
    <w:p>
      <w:r>
        <w:rPr>
          <w:color w:val="555555"/>
          <w:sz w:val="18"/>
        </w:rPr>
        <w:t xml:space="preserve">Stand: 07.12.2024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29 MaSanV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https://recht.nulegal.eu/gesetze/MaSanV/29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