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MaSanV — Informationsaustausch</w:t>
      </w:r>
    </w:p>
    <w:p>
      <w:r>
        <w:rPr>
          <w:color w:val="555555"/>
          <w:sz w:val="18"/>
        </w:rPr>
        <w:t xml:space="preserve">Sanierungsplanmindestanforderungsverordnung</w:t>
      </w:r>
    </w:p>
    <w:p>
      <w:r>
        <w:rPr>
          <w:color w:val="555555"/>
          <w:sz w:val="18"/>
        </w:rPr>
        <w:t xml:space="preserve">Stand: 07.12.2024 (konsolidierte Textfassung, kein amtliches Inkrafttretensdatum)</w:t>
      </w:r>
    </w:p>
    <w:p>
      <w:r>
        <w:t xml:space="preserve">(1) Der Sanierungsplan hat zu beschreiben, wie das institutsbezogene Sicherungssystem und die von der Befreiung erfassten Institute sich gegenseitig die für die Erstellung, die in § 23 Absatz 2 beschriebene Einbeziehung der Inhalte des Sanierungsplans, die Aktualisierung des Sanierungsplans und die für die Sicherstellung der rechtzeitigen Umsetzung von Handlungsoptionen notwendigen Informationen bereitstellen.</w:t>
      </w:r>
    </w:p>
    <w:p>
      <w:r>
        <w:t xml:space="preserve">(2) Der Sanierungsplan hat auch zu beschreiben, wie sichergestellt wird, dass die Informationen im Sinne des Absatzes 1 aktuell, richtig und vollständig sind, sowie dem institutsbezogenen Sicherungssystem rechtzeitig zur Verfügung gestellt werden.</w:t>
      </w:r>
    </w:p>
    <w:p>
      <w:r>
        <w:rPr>
          <w:color w:val="555555"/>
          <w:sz w:val="17"/>
        </w:rPr>
        <w:t xml:space="preserve">Zitiervorschlag: § 27 MaSanV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https://recht.nulegal.eu/gesetze/MaSanV/27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