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MaSanV — Vorbereitungsmaßnahmen</w:t>
      </w:r>
    </w:p>
    <w:p>
      <w:r>
        <w:rPr>
          <w:color w:val="555555"/>
          <w:sz w:val="18"/>
        </w:rPr>
        <w:t xml:space="preserve">Sanierungsplanmindestanforderungsverordnung</w:t>
      </w:r>
    </w:p>
    <w:p>
      <w:r>
        <w:rPr>
          <w:color w:val="555555"/>
          <w:sz w:val="18"/>
        </w:rPr>
        <w:t xml:space="preserve">Stand: 07.12.2024 (konsolidierte Textfassung, kein amtliches Inkrafttretensdatum)</w:t>
      </w:r>
    </w:p>
    <w:p>
      <w:r>
        <w:t xml:space="preserve">Die Beschreibung der Umsetzung des identifizierten Handlungsbedarfs gemäß Artikel 15 der Delegierten Verordnung (EU) 2016/1075 hat mit Bezug auf das institutsbezogene Sicherungssystem und die befreiten Institute zu erfolgen.</w:t>
      </w:r>
    </w:p>
    <w:p>
      <w:r>
        <w:rPr>
          <w:color w:val="555555"/>
          <w:sz w:val="17"/>
        </w:rPr>
        <w:t xml:space="preserve">Zitiervorschlag: § 26 MaSanV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https://recht.nulegal.eu/gesetze/MaSanV/26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