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MaSanV — Beschreibung des institutsbezogenen Sicherungssystems und der befreiten Institute</w:t>
      </w:r>
    </w:p>
    <w:p>
      <w:r>
        <w:rPr>
          <w:color w:val="555555"/>
          <w:sz w:val="18"/>
        </w:rPr>
        <w:t xml:space="preserve">Sanierungsplanmindestanforderungsverordnung</w:t>
      </w:r>
    </w:p>
    <w:p>
      <w:r>
        <w:rPr>
          <w:color w:val="555555"/>
          <w:sz w:val="18"/>
        </w:rPr>
        <w:t xml:space="preserve">Stand: 05.04.2020 (konsolidierte Textfassung, kein amtliches Inkrafttretensdatum)</w:t>
      </w:r>
    </w:p>
    <w:p>
      <w:r>
        <w:t xml:space="preserve">(1) Das institutsbezogene Sicherungssystem hat die allgemeine Beschreibung des Instituts und der Gruppe nach Artikel 6 Absatz 2 Buchstabe a und Artikel 7 Absatz 1 Buchstabe a der Delegierten Verordnung (EU) 2016/1075 sowohl in Bezug auf die von der Befreiung erfassten Institute als auch in Bezug auf das institutsbezogene Sicherungssystem zu erfüllen. Das Gleiche gilt für die Darstellung der gruppeninternen und externen Verflechtungen gemäß Artikel 7 Absatz 1 Buchstabe c und d der Delegierten Verordnung (EU) 2016/1075. Die allgemeine Beschreibung des institutsbezogenen Sicherungssystems hat auch ein Organigramm zu umfassen.</w:t>
      </w:r>
    </w:p>
    <w:p>
      <w:r>
        <w:t xml:space="preserve">(2) Die Anforderungen an den Sanierungsplan hinsichtlich der Beschreibung von Kerngeschäftsbereichen sowie der Beschreibung des Prozesses und der Kriterien zu deren Identifikation nach Artikel 6 Absatz 1 und nach Artikel 7 Absatz 1 Buchstabe a Ziffer iii und iv der Delegierten Verordnung (EU) 2016/1075 sowie die Zuordnung von Kerngeschäftsbereichen zu wesentlichen gruppenangehörigen Gesellschaften und Zweigstellen nach Artikel 7 Absatz 1 Buchstabe b der Delegierten Verordnung (EU) 2016/1075 haben sich auf die von der Befreiung erfassten Institute zu beziehen. Die Identifikation von kritischen Funktionen und die Beschreibung der Prozesse und der Kriterien zu deren Identifikation sowie die Zuordnung von kritischen Funktionen zu den wesentlichen gruppenangehörigen Gesellschaften und Zweigstellen sind nicht erforderlich.</w:t>
      </w:r>
    </w:p>
    <w:p>
      <w:r>
        <w:rPr>
          <w:color w:val="555555"/>
          <w:sz w:val="17"/>
        </w:rPr>
        <w:t xml:space="preserve">Zitiervorschlag: § 22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