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MaSanV — Sanierungsplanung durch das institutsbezogene Sicherungssystem</w:t>
      </w:r>
    </w:p>
    <w:p>
      <w:r>
        <w:rPr>
          <w:color w:val="555555"/>
          <w:sz w:val="18"/>
        </w:rPr>
        <w:t xml:space="preserve">Sanierungsplanmindestanforderungsverordnung</w:t>
      </w:r>
    </w:p>
    <w:p>
      <w:r>
        <w:rPr>
          <w:color w:val="555555"/>
          <w:sz w:val="18"/>
        </w:rPr>
        <w:t xml:space="preserve">Stand: 07.12.2024 (konsolidierte Textfassung, kein amtliches Inkrafttretensdatum)</w:t>
      </w:r>
    </w:p>
    <w:p>
      <w:r>
        <w:t xml:space="preserve">(1) Das institutsbezogene Sicherungssystem hat für die befreiten Institute einen Sanierungsplan zu erstellen. Die Anforderungen nach den §§ 12 bis 19 des Sanierungs- und Abwicklungsgesetzes sind nach Maßgabe der §§ 22 bis 28 zu erfüllen.</w:t>
      </w:r>
    </w:p>
    <w:p>
      <w:r>
        <w:t xml:space="preserve">(2) Die Angaben zu den Instituten nach Absatz 4 und den §§ 22 bis 27 können zusammengefasst erfolgen. Zu diesem Zweck kann das institutsbezogene Sicherungssystem die Institute in angemessene Klassen einteilen und die Angaben in Bezug auf die gebildeten Klassen darstellen. Es ist anzugeben, welche Institute welcher Klasse zugeordnet wurden. Das institutsbezogene Sicherungssystem hat sicherzustellen, dass die Einteilung der Institute in Klassen und die Zusammenfassung der Angaben im Sanierungsplan nachvollziehbar begründet werden.</w:t>
      </w:r>
    </w:p>
    <w:p>
      <w:r>
        <w:t xml:space="preserve">(3) Die Aufsichtsbehörde kann in Abstimmung mit der Deutschen Bundesbank unter Berücksichtigung der in § 19 Absatz 2 des Sanierungs- und Abwicklungsgesetzes genannten Kriterien jederzeit anordnen, dass über die Anforderungen des Absatzes 1 hinaus weitere Anforderungen zu beachten sind. Hierbei kann die Aufsichtsbehörde in Abstimmung mit der Deutschen Bundesbank auch anordnen, dass der ein bestimmtes Institut umfassende Teil des Sanierungsplans von der Geschäftsleitung dieses Instituts unterzeichnet wird.</w:t>
      </w:r>
    </w:p>
    <w:p>
      <w:r>
        <w:t xml:space="preserve">(4) Der Sanierungsplan muss eine Zusammenfassung enthalten, die sich auf alle Teile des Sanierungsplans bezieht. In der Zusammenfassung ist jede wesentliche Änderung des institutsbezogenen Sicherungssystems, der von der Befreiung erfassten Institute und des Sanierungsplans seit dessen letzter Einreichung zu beschreiben. Die Wesentlichkeit einer Änderung bestimmt sich nach Artikel 4 Absatz 2 der Delegierten Verordnung (EU) 2016/1075.</w:t>
      </w:r>
    </w:p>
    <w:p>
      <w:r>
        <w:rPr>
          <w:color w:val="555555"/>
          <w:sz w:val="17"/>
        </w:rPr>
        <w:t xml:space="preserve">Zitiervorschlag: § 21 MaSanV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https://recht.nulegal.eu/gesetze/MaSanV/21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